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Ethics in Psychological Assessments Paper</w:t>
      </w:r>
    </w:p>
    <w:p w:rsidR="00000000" w:rsidDel="00000000" w:rsidP="00000000" w:rsidRDefault="00000000" w:rsidRPr="00000000" w14:paraId="0000000A">
      <w:pPr>
        <w:jc w:val="center"/>
        <w:rPr/>
      </w:pPr>
      <w:r w:rsidDel="00000000" w:rsidR="00000000" w:rsidRPr="00000000">
        <w:rPr>
          <w:rtl w:val="0"/>
        </w:rPr>
      </w:r>
    </w:p>
    <w:p w:rsidR="00000000" w:rsidDel="00000000" w:rsidP="00000000" w:rsidRDefault="00000000" w:rsidRPr="00000000" w14:paraId="0000000B">
      <w:pPr>
        <w:spacing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Destiny </w:t>
      </w:r>
    </w:p>
    <w:p w:rsidR="00000000" w:rsidDel="00000000" w:rsidP="00000000" w:rsidRDefault="00000000" w:rsidRPr="00000000" w14:paraId="0000000C">
      <w:pPr>
        <w:spacing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College of Humanities and Social Sciences, Grand Canyon University</w:t>
      </w:r>
    </w:p>
    <w:p w:rsidR="00000000" w:rsidDel="00000000" w:rsidP="00000000" w:rsidRDefault="00000000" w:rsidRPr="00000000" w14:paraId="0000000D">
      <w:pPr>
        <w:spacing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CNL-523: Assessment, Tests, and Measurements</w:t>
      </w:r>
    </w:p>
    <w:p w:rsidR="00000000" w:rsidDel="00000000" w:rsidP="00000000" w:rsidRDefault="00000000" w:rsidRPr="00000000" w14:paraId="0000000E">
      <w:pPr>
        <w:spacing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Carol Wilson PH.D.</w:t>
      </w:r>
    </w:p>
    <w:p w:rsidR="00000000" w:rsidDel="00000000" w:rsidP="00000000" w:rsidRDefault="00000000" w:rsidRPr="00000000" w14:paraId="0000000F">
      <w:pPr>
        <w:spacing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November 22</w:t>
      </w:r>
      <w:r w:rsidDel="00000000" w:rsidR="00000000" w:rsidRPr="00000000">
        <w:rPr>
          <w:rFonts w:ascii="Times New Roman" w:cs="Times New Roman" w:eastAsia="Times New Roman" w:hAnsi="Times New Roman"/>
          <w:sz w:val="24"/>
          <w:szCs w:val="24"/>
          <w:vertAlign w:val="superscript"/>
          <w:rtl w:val="0"/>
        </w:rPr>
        <w:t xml:space="preserve">nd</w:t>
      </w:r>
      <w:r w:rsidDel="00000000" w:rsidR="00000000" w:rsidRPr="00000000">
        <w:rPr>
          <w:rFonts w:ascii="Times New Roman" w:cs="Times New Roman" w:eastAsia="Times New Roman" w:hAnsi="Times New Roman"/>
          <w:sz w:val="24"/>
          <w:szCs w:val="24"/>
          <w:rtl w:val="0"/>
        </w:rPr>
        <w:t xml:space="preserve">, 2023</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Introduction</w:t>
      </w:r>
    </w:p>
    <w:p w:rsidR="00000000" w:rsidDel="00000000" w:rsidP="00000000" w:rsidRDefault="00000000" w:rsidRPr="00000000" w14:paraId="0000001D">
      <w:pPr>
        <w:spacing w:line="480" w:lineRule="auto"/>
        <w:ind w:firstLine="720"/>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sz w:val="24"/>
          <w:szCs w:val="24"/>
          <w:rtl w:val="0"/>
        </w:rPr>
        <w:t xml:space="preserve">Counselors must abide by the Code of Ethics provided by the American Counseling Association. These codes have been created to protect the client and ensure the counselor is mindful of their practices and techniques they use in their career with clients. Failure to abide by the code of ethics can result in fines and suspension of licensure in their state of practice.  Psychological tests and assessments are utilized to create a treatment plan for a client or track the progress they are making within treatment. Assessments are conducted via observations of behaviors, tests, and interviews to help solve a problem the client is encountering (Cohen et al., 2022). Counselors must consider multicultural factors before administering an assessment. A counselor failing to acknowledge the impact of a client’s education, language, and culture before conducting an assessment can cause the client harm (American Counseling Association, 2014, A.4.a.).</w:t>
      </w:r>
      <w:r w:rsidDel="00000000" w:rsidR="00000000" w:rsidRPr="00000000">
        <w:rPr>
          <w:rtl w:val="0"/>
        </w:rPr>
      </w:r>
    </w:p>
    <w:p w:rsidR="00000000" w:rsidDel="00000000" w:rsidP="00000000" w:rsidRDefault="00000000" w:rsidRPr="00000000" w14:paraId="0000001E">
      <w:pP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Ethical, Multicultural and Diversity Issues (S)</w:t>
      </w:r>
    </w:p>
    <w:p w:rsidR="00000000" w:rsidDel="00000000" w:rsidP="00000000" w:rsidRDefault="00000000" w:rsidRPr="00000000" w14:paraId="0000001F">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Counselors must provide informed consent to all of their clients, and if a client is unsure of the purpose of an assessment, it can be an ethical dilemma. It is vital for the client to clarify questions they may have to avoid an inaccurate collection of data from the assessment by the counselor. It is essential for counselors to conduct all interviews with cultural sensitivity and allow the client to tell their story within their culture (Sayegh et al., 2023). It would be harmful for counselors to assume the client's connection with their cultures and the beliefs they cherish. Languages vary, and phrases have different interpretations and purposes. If the counselor assumes understanding from their client, it can affect the assessment results and the development of their treatment plan. </w:t>
      </w:r>
    </w:p>
    <w:p w:rsidR="00000000" w:rsidDel="00000000" w:rsidP="00000000" w:rsidRDefault="00000000" w:rsidRPr="00000000" w14:paraId="00000020">
      <w:pP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21">
      <w:pP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How to Avoid Ethical Issues in Psychological Assessments</w:t>
      </w:r>
    </w:p>
    <w:p w:rsidR="00000000" w:rsidDel="00000000" w:rsidP="00000000" w:rsidRDefault="00000000" w:rsidRPr="00000000" w14:paraId="00000022">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Counselors must consider the client's ability to process information and their reading abilities depending on the administration of the assessment (Knapp &amp; Fingerhut, 2024). If the client has a learning disability, the counselor will tailor the assessment to meet their needs. The assessment setting also influences the ethical responsibilities the counselor must abide by. Telehealth appointments/assessments must abide by the legal requirements of HIPAA and the code of ethics of the American Counseling Association. Counselors must be mindful of the client's assessments as they should be relevant to their diagnosis and the creation of their treatment plan. Counselors must share the results and interpretations of the assessments to the client and the impact the results have upon their treatment plan (ACA, 2014, E.1.b.). The counselor must use the results and interpretation appropriately and in an un-bias manner. If a counselor is abiding by the code of ethics, securing informed consent and considering cultural factors in their client's treatment plan will ensure the avoidance of ethical violations. </w:t>
      </w:r>
    </w:p>
    <w:p w:rsidR="00000000" w:rsidDel="00000000" w:rsidP="00000000" w:rsidRDefault="00000000" w:rsidRPr="00000000" w14:paraId="00000023">
      <w:pP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Assessing Behaviors that Stem from Cultures and Subcultures (S)</w:t>
      </w:r>
    </w:p>
    <w:p w:rsidR="00000000" w:rsidDel="00000000" w:rsidP="00000000" w:rsidRDefault="00000000" w:rsidRPr="00000000" w14:paraId="00000024">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Counselors should be mindful of the characteristics of individualist culture and collectivist culture and the impact that has upon a client’s behaviors. Characteristics of individualist culture would be autonomy, independence and competiveness (Cohen et al., 2022). On the contrary, collectivist culture characteristics is conformity, focus on group goals and cooperation (Cohen et al., 2022). It is vital for counselors to understand which behaviors may stem from the client’s culture and do not make an effort to change cultural norms of the client. If a counselor tries to apply an intervention to a culturally normal behavior it can cause the client harm and can discourage self-disclosure. </w:t>
      </w:r>
    </w:p>
    <w:p w:rsidR="00000000" w:rsidDel="00000000" w:rsidP="00000000" w:rsidRDefault="00000000" w:rsidRPr="00000000" w14:paraId="00000025">
      <w:pP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26">
      <w:pP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Impacts of Assessment Choice (S)</w:t>
      </w:r>
    </w:p>
    <w:p w:rsidR="00000000" w:rsidDel="00000000" w:rsidP="00000000" w:rsidRDefault="00000000" w:rsidRPr="00000000" w14:paraId="00000027">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Counselors must understand their client’s education, career, and personal/social development. Understanding these factors can positively impact the creation of the client’s treatment plan. Every assessment is individualized on the client’s education, career, and learning/processing abilities. Every client will have different characteristics and strengthens/weaknesses. Assessments will be determined based on the symptoms the client is presenting. Administrating assessment provides the counselor with insight into the client's needs and where they could benefit from interventions. The diagnostic process will differ per client as symptoms vary due to life experiences, traumas, and environments. </w:t>
      </w:r>
    </w:p>
    <w:p w:rsidR="00000000" w:rsidDel="00000000" w:rsidP="00000000" w:rsidRDefault="00000000" w:rsidRPr="00000000" w14:paraId="00000028">
      <w:pP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Ethical Issues as Specified in the ACA Code of Ethics</w:t>
      </w:r>
    </w:p>
    <w:p w:rsidR="00000000" w:rsidDel="00000000" w:rsidP="00000000" w:rsidRDefault="00000000" w:rsidRPr="00000000" w14:paraId="00000029">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Counselors must conduct assessments that are qualitative and qualitative to gather data/insight upon the clients strengthens and weaknesses (ACA, 2014, E.1.a.). It is vital that the counselor considers multicultural factors before administering an assessment to their client (ACA, 2014, E.5.b.). The diagnostic process can be lengthy with assessment conducted via interviews, behavioral observations and tests. The client must receive an accurate diagnosis and a plan of treatment to address the symptoms that are negatively impacting their ability to function (ACA, 2014, E.5.a.). The assessments should be conducted in a discrete and appropriate environment to ensure confidentiality. </w:t>
      </w:r>
    </w:p>
    <w:p w:rsidR="00000000" w:rsidDel="00000000" w:rsidP="00000000" w:rsidRDefault="00000000" w:rsidRPr="00000000" w14:paraId="0000002A">
      <w:pP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Conclusion</w:t>
      </w:r>
    </w:p>
    <w:p w:rsidR="00000000" w:rsidDel="00000000" w:rsidP="00000000" w:rsidRDefault="00000000" w:rsidRPr="00000000" w14:paraId="0000002B">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Counselors must use assessments to determine qualities or areas of weakness and strengthens within a client’s life. Before conducting an assessment the counselor must consider the client’s culture, career, language and comprehension abilities to avoid the client facing harm (ACA, 2014, A.4.a.). The client must understand the purpose of the assessment and what impact the results have upon the development of their treatment plan. If a counselor fails to consider these factors or obtain informed consent it can lead to an ethical violation. </w:t>
      </w:r>
    </w:p>
    <w:p w:rsidR="00000000" w:rsidDel="00000000" w:rsidP="00000000" w:rsidRDefault="00000000" w:rsidRPr="00000000" w14:paraId="0000002C">
      <w:pPr>
        <w:jc w:val="center"/>
        <w:rPr>
          <w:b w:val="1"/>
          <w:bCs w:val="1"/>
        </w:rPr>
      </w:pPr>
      <w:r w:rsidDel="00000000" w:rsidR="00000000" w:rsidRPr="00000000">
        <w:rPr>
          <w:rtl w:val="0"/>
        </w:rPr>
      </w:r>
    </w:p>
    <w:p w:rsidR="00000000" w:rsidDel="00000000" w:rsidP="00000000" w:rsidRDefault="00000000" w:rsidRPr="00000000" w14:paraId="0000002D">
      <w:pPr>
        <w:jc w:val="center"/>
        <w:rPr>
          <w:b w:val="1"/>
          <w:bCs w:val="1"/>
        </w:rPr>
      </w:pPr>
      <w:r w:rsidDel="00000000" w:rsidR="00000000" w:rsidRPr="00000000">
        <w:rPr>
          <w:rtl w:val="0"/>
        </w:rPr>
      </w:r>
    </w:p>
    <w:p w:rsidR="00000000" w:rsidDel="00000000" w:rsidP="00000000" w:rsidRDefault="00000000" w:rsidRPr="00000000" w14:paraId="0000002E">
      <w:pPr>
        <w:jc w:val="center"/>
        <w:rPr>
          <w:b w:val="1"/>
          <w:bCs w:val="1"/>
        </w:rPr>
      </w:pPr>
      <w:r w:rsidDel="00000000" w:rsidR="00000000" w:rsidRPr="00000000">
        <w:rPr>
          <w:rtl w:val="0"/>
        </w:rPr>
      </w:r>
    </w:p>
    <w:p w:rsidR="00000000" w:rsidDel="00000000" w:rsidP="00000000" w:rsidRDefault="00000000" w:rsidRPr="00000000" w14:paraId="0000002F">
      <w:pPr>
        <w:jc w:val="center"/>
        <w:rPr>
          <w:b w:val="1"/>
          <w:bCs w:val="1"/>
        </w:rPr>
      </w:pPr>
      <w:r w:rsidDel="00000000" w:rsidR="00000000" w:rsidRPr="00000000">
        <w:rPr>
          <w:rtl w:val="0"/>
        </w:rPr>
      </w:r>
    </w:p>
    <w:p w:rsidR="00000000" w:rsidDel="00000000" w:rsidP="00000000" w:rsidRDefault="00000000" w:rsidRPr="00000000" w14:paraId="00000030">
      <w:pPr>
        <w:jc w:val="center"/>
        <w:rPr>
          <w:b w:val="1"/>
          <w:bCs w:val="1"/>
        </w:rPr>
      </w:pPr>
      <w:r w:rsidDel="00000000" w:rsidR="00000000" w:rsidRPr="00000000">
        <w:rPr>
          <w:rtl w:val="0"/>
        </w:rPr>
      </w:r>
    </w:p>
    <w:p w:rsidR="00000000" w:rsidDel="00000000" w:rsidP="00000000" w:rsidRDefault="00000000" w:rsidRPr="00000000" w14:paraId="00000031">
      <w:pPr>
        <w:jc w:val="center"/>
        <w:rPr>
          <w:b w:val="1"/>
          <w:bCs w:val="1"/>
        </w:rPr>
      </w:pPr>
      <w:r w:rsidDel="00000000" w:rsidR="00000000" w:rsidRPr="00000000">
        <w:rPr>
          <w:rtl w:val="0"/>
        </w:rPr>
      </w:r>
    </w:p>
    <w:p w:rsidR="00000000" w:rsidDel="00000000" w:rsidP="00000000" w:rsidRDefault="00000000" w:rsidRPr="00000000" w14:paraId="00000032">
      <w:pPr>
        <w:jc w:val="center"/>
        <w:rPr>
          <w:b w:val="1"/>
          <w:bCs w:val="1"/>
        </w:rPr>
      </w:pPr>
      <w:r w:rsidDel="00000000" w:rsidR="00000000" w:rsidRPr="00000000">
        <w:rPr>
          <w:rtl w:val="0"/>
        </w:rPr>
      </w:r>
    </w:p>
    <w:p w:rsidR="00000000" w:rsidDel="00000000" w:rsidP="00000000" w:rsidRDefault="00000000" w:rsidRPr="00000000" w14:paraId="00000033">
      <w:pPr>
        <w:jc w:val="center"/>
        <w:rPr>
          <w:b w:val="1"/>
          <w:bCs w:val="1"/>
        </w:rPr>
      </w:pPr>
      <w:r w:rsidDel="00000000" w:rsidR="00000000" w:rsidRPr="00000000">
        <w:rPr>
          <w:rtl w:val="0"/>
        </w:rPr>
      </w:r>
    </w:p>
    <w:p w:rsidR="00000000" w:rsidDel="00000000" w:rsidP="00000000" w:rsidRDefault="00000000" w:rsidRPr="00000000" w14:paraId="00000034">
      <w:pPr>
        <w:jc w:val="center"/>
        <w:rPr>
          <w:b w:val="1"/>
          <w:bCs w:val="1"/>
        </w:rPr>
      </w:pPr>
      <w:r w:rsidDel="00000000" w:rsidR="00000000" w:rsidRPr="00000000">
        <w:rPr>
          <w:rtl w:val="0"/>
        </w:rPr>
      </w:r>
    </w:p>
    <w:p w:rsidR="00000000" w:rsidDel="00000000" w:rsidP="00000000" w:rsidRDefault="00000000" w:rsidRPr="00000000" w14:paraId="00000035">
      <w:pPr>
        <w:jc w:val="center"/>
        <w:rPr>
          <w:b w:val="1"/>
          <w:bCs w:val="1"/>
        </w:rPr>
      </w:pPr>
      <w:r w:rsidDel="00000000" w:rsidR="00000000" w:rsidRPr="00000000">
        <w:rPr>
          <w:rtl w:val="0"/>
        </w:rPr>
      </w:r>
    </w:p>
    <w:p w:rsidR="00000000" w:rsidDel="00000000" w:rsidP="00000000" w:rsidRDefault="00000000" w:rsidRPr="00000000" w14:paraId="00000036">
      <w:pPr>
        <w:jc w:val="center"/>
        <w:rPr>
          <w:b w:val="1"/>
          <w:bCs w:val="1"/>
        </w:rPr>
      </w:pPr>
      <w:r w:rsidDel="00000000" w:rsidR="00000000" w:rsidRPr="00000000">
        <w:rPr>
          <w:rtl w:val="0"/>
        </w:rPr>
      </w:r>
    </w:p>
    <w:p w:rsidR="00000000" w:rsidDel="00000000" w:rsidP="00000000" w:rsidRDefault="00000000" w:rsidRPr="00000000" w14:paraId="00000037">
      <w:pPr>
        <w:jc w:val="center"/>
        <w:rPr>
          <w:b w:val="1"/>
          <w:bCs w:val="1"/>
        </w:rPr>
      </w:pPr>
      <w:r w:rsidDel="00000000" w:rsidR="00000000" w:rsidRPr="00000000">
        <w:rPr>
          <w:rtl w:val="0"/>
        </w:rPr>
      </w:r>
    </w:p>
    <w:p w:rsidR="00000000" w:rsidDel="00000000" w:rsidP="00000000" w:rsidRDefault="00000000" w:rsidRPr="00000000" w14:paraId="00000038">
      <w:pPr>
        <w:rPr>
          <w:b w:val="1"/>
          <w:bCs w:val="1"/>
        </w:rPr>
      </w:pPr>
      <w:r w:rsidDel="00000000" w:rsidR="00000000" w:rsidRPr="00000000">
        <w:rPr>
          <w:rtl w:val="0"/>
        </w:rPr>
      </w:r>
    </w:p>
    <w:p w:rsidR="00000000" w:rsidDel="00000000" w:rsidP="00000000" w:rsidRDefault="00000000" w:rsidRPr="00000000" w14:paraId="00000039">
      <w:pPr>
        <w:rPr>
          <w:b w:val="1"/>
          <w:bCs w:val="1"/>
        </w:rPr>
      </w:pPr>
      <w:r w:rsidDel="00000000" w:rsidR="00000000" w:rsidRPr="00000000">
        <w:rPr>
          <w:rtl w:val="0"/>
        </w:rPr>
      </w:r>
    </w:p>
    <w:p w:rsidR="00000000" w:rsidDel="00000000" w:rsidP="00000000" w:rsidRDefault="00000000" w:rsidRPr="00000000" w14:paraId="0000003A">
      <w:pPr>
        <w:rPr>
          <w:b w:val="1"/>
          <w:bCs w:val="1"/>
        </w:rPr>
      </w:pPr>
      <w:r w:rsidDel="00000000" w:rsidR="00000000" w:rsidRPr="00000000">
        <w:rPr>
          <w:rtl w:val="0"/>
        </w:rPr>
      </w:r>
    </w:p>
    <w:p w:rsidR="00000000" w:rsidDel="00000000" w:rsidP="00000000" w:rsidRDefault="00000000" w:rsidRPr="00000000" w14:paraId="0000003B">
      <w:pPr>
        <w:rPr>
          <w:b w:val="1"/>
          <w:bCs w:val="1"/>
        </w:rPr>
      </w:pPr>
      <w:r w:rsidDel="00000000" w:rsidR="00000000" w:rsidRPr="00000000">
        <w:rPr>
          <w:rtl w:val="0"/>
        </w:rPr>
      </w:r>
    </w:p>
    <w:p w:rsidR="00000000" w:rsidDel="00000000" w:rsidP="00000000" w:rsidRDefault="00000000" w:rsidRPr="00000000" w14:paraId="0000003C">
      <w:pPr>
        <w:rPr>
          <w:b w:val="1"/>
          <w:bCs w:val="1"/>
        </w:rPr>
      </w:pPr>
      <w:r w:rsidDel="00000000" w:rsidR="00000000" w:rsidRPr="00000000">
        <w:rPr>
          <w:rtl w:val="0"/>
        </w:rPr>
      </w:r>
    </w:p>
    <w:p w:rsidR="00000000" w:rsidDel="00000000" w:rsidP="00000000" w:rsidRDefault="00000000" w:rsidRPr="00000000" w14:paraId="0000003D">
      <w:pPr>
        <w:rPr>
          <w:b w:val="1"/>
          <w:bCs w:val="1"/>
        </w:rPr>
      </w:pPr>
      <w:r w:rsidDel="00000000" w:rsidR="00000000" w:rsidRPr="00000000">
        <w:rPr>
          <w:rtl w:val="0"/>
        </w:rPr>
      </w:r>
    </w:p>
    <w:p w:rsidR="00000000" w:rsidDel="00000000" w:rsidP="00000000" w:rsidRDefault="00000000" w:rsidRPr="00000000" w14:paraId="0000003E">
      <w:pPr>
        <w:rPr>
          <w:b w:val="1"/>
          <w:bCs w:val="1"/>
        </w:rPr>
      </w:pPr>
      <w:r w:rsidDel="00000000" w:rsidR="00000000" w:rsidRPr="00000000">
        <w:rPr>
          <w:rtl w:val="0"/>
        </w:rPr>
      </w:r>
    </w:p>
    <w:p w:rsidR="00000000" w:rsidDel="00000000" w:rsidP="00000000" w:rsidRDefault="00000000" w:rsidRPr="00000000" w14:paraId="0000003F">
      <w:pPr>
        <w:rPr>
          <w:b w:val="1"/>
          <w:bCs w:val="1"/>
        </w:rPr>
      </w:pPr>
      <w:r w:rsidDel="00000000" w:rsidR="00000000" w:rsidRPr="00000000">
        <w:rPr>
          <w:rtl w:val="0"/>
        </w:rPr>
      </w:r>
    </w:p>
    <w:p w:rsidR="00000000" w:rsidDel="00000000" w:rsidP="00000000" w:rsidRDefault="00000000" w:rsidRPr="00000000" w14:paraId="00000040">
      <w:pPr>
        <w:rPr>
          <w:b w:val="1"/>
          <w:bCs w:val="1"/>
        </w:rPr>
      </w:pPr>
      <w:r w:rsidDel="00000000" w:rsidR="00000000" w:rsidRPr="00000000">
        <w:rPr>
          <w:rtl w:val="0"/>
        </w:rPr>
      </w:r>
    </w:p>
    <w:p w:rsidR="00000000" w:rsidDel="00000000" w:rsidP="00000000" w:rsidRDefault="00000000" w:rsidRPr="00000000" w14:paraId="00000041">
      <w:pPr>
        <w:rPr>
          <w:b w:val="1"/>
          <w:bCs w:val="1"/>
        </w:rPr>
      </w:pPr>
      <w:r w:rsidDel="00000000" w:rsidR="00000000" w:rsidRPr="00000000">
        <w:rPr>
          <w:rtl w:val="0"/>
        </w:rPr>
      </w:r>
    </w:p>
    <w:p w:rsidR="00000000" w:rsidDel="00000000" w:rsidP="00000000" w:rsidRDefault="00000000" w:rsidRPr="00000000" w14:paraId="00000042">
      <w:pPr>
        <w:rPr>
          <w:b w:val="1"/>
          <w:bCs w:val="1"/>
        </w:rPr>
      </w:pPr>
      <w:r w:rsidDel="00000000" w:rsidR="00000000" w:rsidRPr="00000000">
        <w:rPr>
          <w:rtl w:val="0"/>
        </w:rPr>
      </w:r>
    </w:p>
    <w:p w:rsidR="00000000" w:rsidDel="00000000" w:rsidP="00000000" w:rsidRDefault="00000000" w:rsidRPr="00000000" w14:paraId="00000043">
      <w:pPr>
        <w:rPr>
          <w:b w:val="1"/>
          <w:bCs w:val="1"/>
        </w:rPr>
      </w:pPr>
      <w:r w:rsidDel="00000000" w:rsidR="00000000" w:rsidRPr="00000000">
        <w:rPr>
          <w:rtl w:val="0"/>
        </w:rPr>
      </w:r>
    </w:p>
    <w:p w:rsidR="00000000" w:rsidDel="00000000" w:rsidP="00000000" w:rsidRDefault="00000000" w:rsidRPr="00000000" w14:paraId="00000044">
      <w:pPr>
        <w:rPr>
          <w:b w:val="1"/>
          <w:bCs w:val="1"/>
        </w:rPr>
      </w:pPr>
      <w:r w:rsidDel="00000000" w:rsidR="00000000" w:rsidRPr="00000000">
        <w:rPr>
          <w:rtl w:val="0"/>
        </w:rPr>
      </w:r>
    </w:p>
    <w:p w:rsidR="00000000" w:rsidDel="00000000" w:rsidP="00000000" w:rsidRDefault="00000000" w:rsidRPr="00000000" w14:paraId="00000045">
      <w:pPr>
        <w:rPr>
          <w:b w:val="1"/>
          <w:bCs w:val="1"/>
        </w:rPr>
      </w:pPr>
      <w:r w:rsidDel="00000000" w:rsidR="00000000" w:rsidRPr="00000000">
        <w:rPr>
          <w:rtl w:val="0"/>
        </w:rPr>
      </w:r>
    </w:p>
    <w:p w:rsidR="00000000" w:rsidDel="00000000" w:rsidP="00000000" w:rsidRDefault="00000000" w:rsidRPr="00000000" w14:paraId="00000046">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References</w:t>
      </w:r>
    </w:p>
    <w:p w:rsidR="00000000" w:rsidDel="00000000" w:rsidP="00000000" w:rsidRDefault="00000000" w:rsidRPr="00000000" w14:paraId="0000004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American Counseling Association. (2014). </w:t>
      </w:r>
      <w:r w:rsidDel="00000000" w:rsidR="00000000" w:rsidRPr="00000000">
        <w:rPr>
          <w:rFonts w:ascii="Times New Roman" w:cs="Times New Roman" w:eastAsia="Times New Roman" w:hAnsi="Times New Roman"/>
          <w:i w:val="1"/>
          <w:iCs w:val="1"/>
          <w:sz w:val="24"/>
          <w:szCs w:val="24"/>
          <w:rtl w:val="0"/>
        </w:rPr>
        <w:t xml:space="preserve">2014 ACA Code of Ethics</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48">
      <w:pPr>
        <w:ind w:firstLine="720"/>
        <w:rPr>
          <w:rFonts w:ascii="Times New Roman" w:cs="Times New Roman" w:eastAsia="Times New Roman" w:hAnsi="Times New Roman"/>
          <w:sz w:val="24"/>
          <w:szCs w:val="24"/>
        </w:rPr>
      </w:pPr>
      <w:bookmarkStart w:colFirst="0" w:colLast="0" w:name="_heading=h.v0n4lg5276cg" w:id="0"/>
      <w:bookmarkEnd w:id="0"/>
      <w:hyperlink r:id="rId7">
        <w:r w:rsidDel="00000000" w:rsidR="00000000" w:rsidRPr="00000000">
          <w:rPr>
            <w:rFonts w:ascii="Times New Roman" w:cs="Times New Roman" w:eastAsia="Times New Roman" w:hAnsi="Times New Roman"/>
            <w:color w:val="0563c1"/>
            <w:sz w:val="24"/>
            <w:szCs w:val="24"/>
            <w:u w:val="single"/>
            <w:rtl w:val="0"/>
          </w:rPr>
          <w:t xml:space="preserve">https://www.counseling.org/resources/aca-code-of-ethics.pdf</w:t>
        </w:r>
      </w:hyperlink>
      <w:r w:rsidDel="00000000" w:rsidR="00000000" w:rsidRPr="00000000">
        <w:rPr>
          <w:rtl w:val="0"/>
        </w:rPr>
      </w:r>
    </w:p>
    <w:p w:rsidR="00000000" w:rsidDel="00000000" w:rsidP="00000000" w:rsidRDefault="00000000" w:rsidRPr="00000000" w14:paraId="00000049">
      <w:pPr>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sz w:val="24"/>
          <w:szCs w:val="24"/>
          <w:rtl w:val="0"/>
        </w:rPr>
        <w:t xml:space="preserve">Cohen, R. J., Schneider, W. J., &amp; Tobin, R. M. (2022</w:t>
      </w:r>
      <w:r w:rsidDel="00000000" w:rsidR="00000000" w:rsidRPr="00000000">
        <w:rPr>
          <w:rFonts w:ascii="Times New Roman" w:cs="Times New Roman" w:eastAsia="Times New Roman" w:hAnsi="Times New Roman"/>
          <w:i w:val="1"/>
          <w:iCs w:val="1"/>
          <w:sz w:val="24"/>
          <w:szCs w:val="24"/>
          <w:rtl w:val="0"/>
        </w:rPr>
        <w:t xml:space="preserve">). Psychological testing and assessment: An </w:t>
      </w:r>
    </w:p>
    <w:p w:rsidR="00000000" w:rsidDel="00000000" w:rsidP="00000000" w:rsidRDefault="00000000" w:rsidRPr="00000000" w14:paraId="0000004A">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introduction to tests and measurement</w:t>
      </w:r>
      <w:r w:rsidDel="00000000" w:rsidR="00000000" w:rsidRPr="00000000">
        <w:rPr>
          <w:rFonts w:ascii="Times New Roman" w:cs="Times New Roman" w:eastAsia="Times New Roman" w:hAnsi="Times New Roman"/>
          <w:sz w:val="24"/>
          <w:szCs w:val="24"/>
          <w:rtl w:val="0"/>
        </w:rPr>
        <w:t xml:space="preserve"> (10th ed.). McGraw-Hill Companies. ISBN-13: </w:t>
      </w:r>
    </w:p>
    <w:p w:rsidR="00000000" w:rsidDel="00000000" w:rsidP="00000000" w:rsidRDefault="00000000" w:rsidRPr="00000000" w14:paraId="0000004B">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9781260837025</w:t>
      </w:r>
    </w:p>
    <w:p w:rsidR="00000000" w:rsidDel="00000000" w:rsidP="00000000" w:rsidRDefault="00000000" w:rsidRPr="00000000" w14:paraId="0000004C">
      <w:pPr>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sz w:val="24"/>
          <w:szCs w:val="24"/>
          <w:rtl w:val="0"/>
        </w:rPr>
        <w:t xml:space="preserve">Knapp, S. J., &amp; Fingerhut, R. (2024). Psychological testing and assessment. </w:t>
      </w:r>
      <w:r w:rsidDel="00000000" w:rsidR="00000000" w:rsidRPr="00000000">
        <w:rPr>
          <w:rFonts w:ascii="Times New Roman" w:cs="Times New Roman" w:eastAsia="Times New Roman" w:hAnsi="Times New Roman"/>
          <w:i w:val="1"/>
          <w:iCs w:val="1"/>
          <w:sz w:val="24"/>
          <w:szCs w:val="24"/>
          <w:rtl w:val="0"/>
        </w:rPr>
        <w:t xml:space="preserve">In Practical ethics </w:t>
      </w:r>
    </w:p>
    <w:p w:rsidR="00000000" w:rsidDel="00000000" w:rsidP="00000000" w:rsidRDefault="00000000" w:rsidRPr="00000000" w14:paraId="0000004D">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for psychologists: A positive approach</w:t>
      </w:r>
      <w:r w:rsidDel="00000000" w:rsidR="00000000" w:rsidRPr="00000000">
        <w:rPr>
          <w:rFonts w:ascii="Times New Roman" w:cs="Times New Roman" w:eastAsia="Times New Roman" w:hAnsi="Times New Roman"/>
          <w:sz w:val="24"/>
          <w:szCs w:val="24"/>
          <w:rtl w:val="0"/>
        </w:rPr>
        <w:t xml:space="preserve">., 4th ed. (pp. 171–186). American Psychological </w:t>
      </w:r>
    </w:p>
    <w:p w:rsidR="00000000" w:rsidDel="00000000" w:rsidP="00000000" w:rsidRDefault="00000000" w:rsidRPr="00000000" w14:paraId="0000004E">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Association. </w:t>
      </w:r>
      <w:hyperlink r:id="rId8">
        <w:r w:rsidDel="00000000" w:rsidR="00000000" w:rsidRPr="00000000">
          <w:rPr>
            <w:rFonts w:ascii="Times New Roman" w:cs="Times New Roman" w:eastAsia="Times New Roman" w:hAnsi="Times New Roman"/>
            <w:color w:val="0563c1"/>
            <w:sz w:val="24"/>
            <w:szCs w:val="24"/>
            <w:u w:val="single"/>
            <w:rtl w:val="0"/>
          </w:rPr>
          <w:t xml:space="preserve">https://doi-org.lopes.idm.oclc.org/10.1037/0000375-010</w:t>
        </w:r>
      </w:hyperlink>
      <w:r w:rsidDel="00000000" w:rsidR="00000000" w:rsidRPr="00000000">
        <w:rPr>
          <w:rtl w:val="0"/>
        </w:rPr>
      </w:r>
    </w:p>
    <w:p w:rsidR="00000000" w:rsidDel="00000000" w:rsidP="00000000" w:rsidRDefault="00000000" w:rsidRPr="00000000" w14:paraId="0000004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Sayegh, P., Vivian, D., Heller, M. B., Kirk, S., &amp; Kelly, K. (2023). Racial, cultural, and social </w:t>
      </w:r>
    </w:p>
    <w:p w:rsidR="00000000" w:rsidDel="00000000" w:rsidP="00000000" w:rsidRDefault="00000000" w:rsidRPr="00000000" w14:paraId="00000050">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injustice in psychological assessment: A brief review, call to action, and resources to help </w:t>
      </w:r>
    </w:p>
    <w:p w:rsidR="00000000" w:rsidDel="00000000" w:rsidP="00000000" w:rsidRDefault="00000000" w:rsidRPr="00000000" w14:paraId="00000051">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reduce inequities and harm. </w:t>
      </w:r>
      <w:r w:rsidDel="00000000" w:rsidR="00000000" w:rsidRPr="00000000">
        <w:rPr>
          <w:rFonts w:ascii="Times New Roman" w:cs="Times New Roman" w:eastAsia="Times New Roman" w:hAnsi="Times New Roman"/>
          <w:i w:val="1"/>
          <w:iCs w:val="1"/>
          <w:sz w:val="24"/>
          <w:szCs w:val="24"/>
          <w:rtl w:val="0"/>
        </w:rPr>
        <w:t xml:space="preserve">Training and Education in Professional Psychology</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iCs w:val="1"/>
          <w:sz w:val="24"/>
          <w:szCs w:val="24"/>
          <w:rtl w:val="0"/>
        </w:rPr>
        <w:t xml:space="preserve">17</w:t>
      </w:r>
      <w:r w:rsidDel="00000000" w:rsidR="00000000" w:rsidRPr="00000000">
        <w:rPr>
          <w:rFonts w:ascii="Times New Roman" w:cs="Times New Roman" w:eastAsia="Times New Roman" w:hAnsi="Times New Roman"/>
          <w:sz w:val="24"/>
          <w:szCs w:val="24"/>
          <w:rtl w:val="0"/>
        </w:rPr>
        <w:t xml:space="preserve">(4), </w:t>
      </w:r>
    </w:p>
    <w:p w:rsidR="00000000" w:rsidDel="00000000" w:rsidP="00000000" w:rsidRDefault="00000000" w:rsidRPr="00000000" w14:paraId="00000052">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366–374. </w:t>
      </w:r>
      <w:hyperlink r:id="rId9">
        <w:r w:rsidDel="00000000" w:rsidR="00000000" w:rsidRPr="00000000">
          <w:rPr>
            <w:rFonts w:ascii="Times New Roman" w:cs="Times New Roman" w:eastAsia="Times New Roman" w:hAnsi="Times New Roman"/>
            <w:color w:val="0563c1"/>
            <w:sz w:val="24"/>
            <w:szCs w:val="24"/>
            <w:u w:val="single"/>
            <w:rtl w:val="0"/>
          </w:rPr>
          <w:t xml:space="preserve">https://doi-org.lopes.idm.oclc.org/10.1037/tep0000451.supp</w:t>
        </w:r>
      </w:hyperlink>
      <w:r w:rsidDel="00000000" w:rsidR="00000000" w:rsidRPr="00000000">
        <w:rPr>
          <w:rFonts w:ascii="Times New Roman" w:cs="Times New Roman" w:eastAsia="Times New Roman" w:hAnsi="Times New Roman"/>
          <w:sz w:val="24"/>
          <w:szCs w:val="24"/>
          <w:rtl w:val="0"/>
        </w:rPr>
        <w:t xml:space="preserve"> (Supplemental)</w:t>
      </w:r>
    </w:p>
    <w:sectPr>
      <w:headerReference r:id="rId10"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righ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unhideWhenUsed w:val="1"/>
    <w:rsid w:val="00DD2F6C"/>
    <w:pPr>
      <w:tabs>
        <w:tab w:val="center" w:pos="4680"/>
        <w:tab w:val="right" w:pos="9360"/>
      </w:tabs>
      <w:spacing w:after="0" w:line="240" w:lineRule="auto"/>
    </w:pPr>
  </w:style>
  <w:style w:type="character" w:styleId="HeaderChar" w:customStyle="1">
    <w:name w:val="Header Char"/>
    <w:basedOn w:val="DefaultParagraphFont"/>
    <w:link w:val="Header"/>
    <w:uiPriority w:val="99"/>
    <w:rsid w:val="00DD2F6C"/>
  </w:style>
  <w:style w:type="paragraph" w:styleId="Footer">
    <w:name w:val="footer"/>
    <w:basedOn w:val="Normal"/>
    <w:link w:val="FooterChar"/>
    <w:uiPriority w:val="99"/>
    <w:unhideWhenUsed w:val="1"/>
    <w:rsid w:val="00DD2F6C"/>
    <w:pPr>
      <w:tabs>
        <w:tab w:val="center" w:pos="4680"/>
        <w:tab w:val="right" w:pos="9360"/>
      </w:tabs>
      <w:spacing w:after="0" w:line="240" w:lineRule="auto"/>
    </w:pPr>
  </w:style>
  <w:style w:type="character" w:styleId="FooterChar" w:customStyle="1">
    <w:name w:val="Footer Char"/>
    <w:basedOn w:val="DefaultParagraphFont"/>
    <w:link w:val="Footer"/>
    <w:uiPriority w:val="99"/>
    <w:rsid w:val="00DD2F6C"/>
  </w:style>
  <w:style w:type="character" w:styleId="Hyperlink">
    <w:name w:val="Hyperlink"/>
    <w:basedOn w:val="DefaultParagraphFont"/>
    <w:uiPriority w:val="99"/>
    <w:unhideWhenUsed w:val="1"/>
    <w:rsid w:val="005C70AB"/>
    <w:rPr>
      <w:color w:val="0563c1" w:themeColor="hyperlink"/>
      <w:u w:val="singl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eader" Target="header1.xml"/><Relationship Id="rId9" Type="http://schemas.openxmlformats.org/officeDocument/2006/relationships/hyperlink" Target="https://doi-org.lopes.idm.oclc.org/10.1037/tep0000451.supp"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www.counseling.org/resources/aca-code-of-ethics.pdf" TargetMode="External"/><Relationship Id="rId8" Type="http://schemas.openxmlformats.org/officeDocument/2006/relationships/hyperlink" Target="https://doi-org.lopes.idm.oclc.org/10.1037/0000375-01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K5zX6t/vlNSikl22P7o7xWzqJdQ==">CgMxLjAyDmgudjBuNGxnNTI3NmNnOAByITFyZXFlU1BNUVZJVHBEYjZKSWM3ZzNLOFBLWlg1dnlJSw==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2025-12-17T23:47:00Z</dcterms:created>
  <dc:creator>Admin</dc:creator>
</cp:coreProperties>
</file>