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spacing w:after="0" w:line="240" w:lineRule="auto"/>
        <w:jc w:val="center"/>
        <w:rPr>
          <w:rFonts w:ascii="Times New Roman" w:cs="Times New Roman" w:eastAsia="Times New Roman" w:hAnsi="Times New Roman"/>
          <w:b w:val="1"/>
          <w:bCs w:val="1"/>
          <w:color w:val="000000"/>
          <w:sz w:val="24"/>
          <w:szCs w:val="24"/>
        </w:rPr>
      </w:pPr>
      <w:bookmarkStart w:colFirst="0" w:colLast="0" w:name="_heading=h.f9iwgybsze9t" w:id="0"/>
      <w:bookmarkEnd w:id="0"/>
      <w:r w:rsidDel="00000000" w:rsidR="00000000" w:rsidRPr="00000000">
        <w:rPr>
          <w:rtl w:val="0"/>
        </w:rPr>
      </w:r>
    </w:p>
    <w:p w:rsidR="00000000" w:rsidDel="00000000" w:rsidP="00000000" w:rsidRDefault="00000000" w:rsidRPr="00000000" w14:paraId="00000002">
      <w:pPr>
        <w:shd w:fill="ffffff" w:val="clear"/>
        <w:spacing w:after="0" w:line="240" w:lineRule="auto"/>
        <w:jc w:val="center"/>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003">
      <w:pPr>
        <w:shd w:fill="ffffff" w:val="clear"/>
        <w:spacing w:after="0" w:line="240" w:lineRule="auto"/>
        <w:jc w:val="center"/>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004">
      <w:pPr>
        <w:shd w:fill="ffffff" w:val="clear"/>
        <w:spacing w:after="0" w:line="240" w:lineRule="auto"/>
        <w:jc w:val="center"/>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005">
      <w:pPr>
        <w:shd w:fill="ffffff" w:val="clear"/>
        <w:spacing w:after="0" w:line="240" w:lineRule="auto"/>
        <w:jc w:val="center"/>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006">
      <w:pPr>
        <w:shd w:fill="ffffff" w:val="clear"/>
        <w:spacing w:after="0" w:line="240" w:lineRule="auto"/>
        <w:jc w:val="center"/>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007">
      <w:pPr>
        <w:shd w:fill="ffffff" w:val="clear"/>
        <w:spacing w:after="0" w:line="240" w:lineRule="auto"/>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008">
      <w:pPr>
        <w:shd w:fill="ffffff" w:val="clear"/>
        <w:spacing w:after="0" w:line="240" w:lineRule="auto"/>
        <w:jc w:val="center"/>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009">
      <w:pPr>
        <w:shd w:fill="ffffff" w:val="clear"/>
        <w:spacing w:after="0" w:line="240" w:lineRule="auto"/>
        <w:jc w:val="center"/>
        <w:rPr>
          <w:rFonts w:ascii="Times New Roman" w:cs="Times New Roman" w:eastAsia="Times New Roman" w:hAnsi="Times New Roman"/>
          <w:b w:val="1"/>
          <w:bCs w:val="1"/>
          <w:color w:val="000000"/>
          <w:sz w:val="24"/>
          <w:szCs w:val="24"/>
        </w:rPr>
      </w:pPr>
      <w:r w:rsidDel="00000000" w:rsidR="00000000" w:rsidRPr="00000000">
        <w:rPr>
          <w:rtl w:val="0"/>
        </w:rPr>
      </w:r>
    </w:p>
    <w:p w:rsidR="00000000" w:rsidDel="00000000" w:rsidP="00000000" w:rsidRDefault="00000000" w:rsidRPr="00000000" w14:paraId="0000000A">
      <w:pPr>
        <w:shd w:fill="ffffff" w:val="clear"/>
        <w:spacing w:after="0" w:line="240" w:lineRule="auto"/>
        <w:jc w:val="center"/>
        <w:rPr>
          <w:rFonts w:ascii="Times New Roman" w:cs="Times New Roman" w:eastAsia="Times New Roman" w:hAnsi="Times New Roman"/>
          <w:b w:val="1"/>
          <w:bCs w:val="1"/>
          <w:color w:val="000000"/>
          <w:sz w:val="24"/>
          <w:szCs w:val="24"/>
        </w:rPr>
      </w:pPr>
      <w:r w:rsidDel="00000000" w:rsidR="00000000" w:rsidRPr="00000000">
        <w:rPr>
          <w:rFonts w:ascii="Times New Roman" w:cs="Times New Roman" w:eastAsia="Times New Roman" w:hAnsi="Times New Roman"/>
          <w:b w:val="1"/>
          <w:bCs w:val="1"/>
          <w:color w:val="000000"/>
          <w:sz w:val="24"/>
          <w:szCs w:val="24"/>
          <w:rtl w:val="0"/>
        </w:rPr>
        <w:t xml:space="preserve">Elements of a Successful Therapeutic Relationship</w:t>
      </w:r>
    </w:p>
    <w:p w:rsidR="00000000" w:rsidDel="00000000" w:rsidP="00000000" w:rsidRDefault="00000000" w:rsidRPr="00000000" w14:paraId="0000000B">
      <w:pPr>
        <w:shd w:fill="ffffff" w:val="clear"/>
        <w:spacing w:after="0" w:line="240" w:lineRule="auto"/>
        <w:jc w:val="center"/>
        <w:rPr>
          <w:rFonts w:ascii="Open Sans" w:cs="Open Sans" w:eastAsia="Open Sans" w:hAnsi="Open Sans"/>
          <w:sz w:val="21"/>
          <w:szCs w:val="21"/>
        </w:rPr>
      </w:pPr>
      <w:r w:rsidDel="00000000" w:rsidR="00000000" w:rsidRPr="00000000">
        <w:rPr>
          <w:rtl w:val="0"/>
        </w:rPr>
      </w:r>
    </w:p>
    <w:p w:rsidR="00000000" w:rsidDel="00000000" w:rsidP="00000000" w:rsidRDefault="00000000" w:rsidRPr="00000000" w14:paraId="0000000C">
      <w:pPr>
        <w:shd w:fill="ffffff" w:val="clear"/>
        <w:spacing w:after="0" w:line="240" w:lineRule="auto"/>
        <w:jc w:val="center"/>
        <w:rPr>
          <w:rFonts w:ascii="Open Sans" w:cs="Open Sans" w:eastAsia="Open Sans" w:hAnsi="Open Sans"/>
          <w:sz w:val="21"/>
          <w:szCs w:val="21"/>
        </w:rPr>
      </w:pPr>
      <w:r w:rsidDel="00000000" w:rsidR="00000000" w:rsidRPr="00000000">
        <w:rPr>
          <w:rtl w:val="0"/>
        </w:rPr>
      </w:r>
    </w:p>
    <w:p w:rsidR="00000000" w:rsidDel="00000000" w:rsidP="00000000" w:rsidRDefault="00000000" w:rsidRPr="00000000" w14:paraId="0000000D">
      <w:pPr>
        <w:shd w:fill="ffffff" w:val="clear"/>
        <w:spacing w:after="0" w:line="240" w:lineRule="auto"/>
        <w:jc w:val="left"/>
        <w:rPr>
          <w:rFonts w:ascii="Open Sans" w:cs="Open Sans" w:eastAsia="Open Sans" w:hAnsi="Open Sans"/>
          <w:sz w:val="21"/>
          <w:szCs w:val="21"/>
        </w:rPr>
      </w:pPr>
      <w:r w:rsidDel="00000000" w:rsidR="00000000" w:rsidRPr="00000000">
        <w:rPr>
          <w:rtl w:val="0"/>
        </w:rPr>
      </w:r>
    </w:p>
    <w:p w:rsidR="00000000" w:rsidDel="00000000" w:rsidP="00000000" w:rsidRDefault="00000000" w:rsidRPr="00000000" w14:paraId="0000000E">
      <w:pPr>
        <w:shd w:fill="ffffff" w:val="clear"/>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Destiny</w:t>
      </w:r>
    </w:p>
    <w:p w:rsidR="00000000" w:rsidDel="00000000" w:rsidP="00000000" w:rsidRDefault="00000000" w:rsidRPr="00000000" w14:paraId="0000000F">
      <w:pPr>
        <w:shd w:fill="ffffff" w:val="clear"/>
        <w:spacing w:after="0" w:line="240" w:lineRule="auto"/>
        <w:jc w:val="center"/>
        <w:rPr>
          <w:rFonts w:ascii="Open Sans" w:cs="Open Sans" w:eastAsia="Open Sans" w:hAnsi="Open Sans"/>
          <w:sz w:val="21"/>
          <w:szCs w:val="21"/>
        </w:rPr>
      </w:pPr>
      <w:r w:rsidDel="00000000" w:rsidR="00000000" w:rsidRPr="00000000">
        <w:rPr>
          <w:rtl w:val="0"/>
        </w:rPr>
      </w:r>
    </w:p>
    <w:p w:rsidR="00000000" w:rsidDel="00000000" w:rsidP="00000000" w:rsidRDefault="00000000" w:rsidRPr="00000000" w14:paraId="00000010">
      <w:pPr>
        <w:spacing w:line="360" w:lineRule="auto"/>
        <w:jc w:val="center"/>
        <w:rPr>
          <w:rFonts w:ascii="Open Sans" w:cs="Open Sans" w:eastAsia="Open Sans" w:hAnsi="Open Sans"/>
          <w:sz w:val="21"/>
          <w:szCs w:val="21"/>
        </w:rPr>
      </w:pPr>
      <w:r w:rsidDel="00000000" w:rsidR="00000000" w:rsidRPr="00000000">
        <w:rPr>
          <w:rFonts w:ascii="Times New Roman" w:cs="Times New Roman" w:eastAsia="Times New Roman" w:hAnsi="Times New Roman"/>
          <w:sz w:val="24"/>
          <w:szCs w:val="24"/>
          <w:rtl w:val="0"/>
        </w:rPr>
        <w:t xml:space="preserve">College of Humanities and Social Sciences, Grand Canyon University</w:t>
      </w:r>
      <w:r w:rsidDel="00000000" w:rsidR="00000000" w:rsidRPr="00000000">
        <w:rPr>
          <w:rtl w:val="0"/>
        </w:rPr>
      </w:r>
    </w:p>
    <w:p w:rsidR="00000000" w:rsidDel="00000000" w:rsidP="00000000" w:rsidRDefault="00000000" w:rsidRPr="00000000" w14:paraId="00000011">
      <w:pPr>
        <w:shd w:fill="ffffff" w:val="clear"/>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CNL-515: Counseling Skills</w:t>
      </w:r>
    </w:p>
    <w:p w:rsidR="00000000" w:rsidDel="00000000" w:rsidP="00000000" w:rsidRDefault="00000000" w:rsidRPr="00000000" w14:paraId="00000012">
      <w:pPr>
        <w:shd w:fill="ffffff" w:val="clear"/>
        <w:spacing w:after="0" w:line="240" w:lineRule="auto"/>
        <w:jc w:val="center"/>
        <w:rPr>
          <w:rFonts w:ascii="Open Sans" w:cs="Open Sans" w:eastAsia="Open Sans" w:hAnsi="Open Sans"/>
          <w:sz w:val="21"/>
          <w:szCs w:val="21"/>
        </w:rPr>
      </w:pPr>
      <w:r w:rsidDel="00000000" w:rsidR="00000000" w:rsidRPr="00000000">
        <w:rPr>
          <w:rtl w:val="0"/>
        </w:rPr>
      </w:r>
    </w:p>
    <w:p w:rsidR="00000000" w:rsidDel="00000000" w:rsidP="00000000" w:rsidRDefault="00000000" w:rsidRPr="00000000" w14:paraId="00000013">
      <w:pPr>
        <w:shd w:fill="ffffff" w:val="clear"/>
        <w:spacing w:after="0" w:line="240" w:lineRule="auto"/>
        <w:jc w:val="center"/>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Laurie Larsen Ph.D.</w:t>
      </w:r>
    </w:p>
    <w:p w:rsidR="00000000" w:rsidDel="00000000" w:rsidP="00000000" w:rsidRDefault="00000000" w:rsidRPr="00000000" w14:paraId="00000014">
      <w:pPr>
        <w:shd w:fill="ffffff" w:val="clear"/>
        <w:spacing w:after="0" w:line="240" w:lineRule="auto"/>
        <w:jc w:val="center"/>
        <w:rPr>
          <w:rFonts w:ascii="Open Sans" w:cs="Open Sans" w:eastAsia="Open Sans" w:hAnsi="Open Sans"/>
          <w:sz w:val="21"/>
          <w:szCs w:val="21"/>
        </w:rPr>
      </w:pPr>
      <w:r w:rsidDel="00000000" w:rsidR="00000000" w:rsidRPr="00000000">
        <w:rPr>
          <w:rtl w:val="0"/>
        </w:rPr>
      </w:r>
    </w:p>
    <w:p w:rsidR="00000000" w:rsidDel="00000000" w:rsidP="00000000" w:rsidRDefault="00000000" w:rsidRPr="00000000" w14:paraId="00000015">
      <w:pPr>
        <w:shd w:fill="ffffff" w:val="clear"/>
        <w:spacing w:after="0" w:line="240" w:lineRule="auto"/>
        <w:jc w:val="center"/>
        <w:rPr>
          <w:rFonts w:ascii="Open Sans" w:cs="Open Sans" w:eastAsia="Open Sans" w:hAnsi="Open Sans"/>
          <w:sz w:val="21"/>
          <w:szCs w:val="21"/>
        </w:rPr>
      </w:pPr>
      <w:r w:rsidDel="00000000" w:rsidR="00000000" w:rsidRPr="00000000">
        <w:rPr>
          <w:rFonts w:ascii="Times New Roman" w:cs="Times New Roman" w:eastAsia="Times New Roman" w:hAnsi="Times New Roman"/>
          <w:color w:val="000000"/>
          <w:sz w:val="24"/>
          <w:szCs w:val="24"/>
          <w:rtl w:val="0"/>
        </w:rPr>
        <w:t xml:space="preserve">August 3</w:t>
      </w:r>
      <w:r w:rsidDel="00000000" w:rsidR="00000000" w:rsidRPr="00000000">
        <w:rPr>
          <w:rFonts w:ascii="Times New Roman" w:cs="Times New Roman" w:eastAsia="Times New Roman" w:hAnsi="Times New Roman"/>
          <w:color w:val="000000"/>
          <w:sz w:val="24"/>
          <w:szCs w:val="24"/>
          <w:vertAlign w:val="superscript"/>
          <w:rtl w:val="0"/>
        </w:rPr>
        <w:t xml:space="preserve">rd</w:t>
      </w:r>
      <w:r w:rsidDel="00000000" w:rsidR="00000000" w:rsidRPr="00000000">
        <w:rPr>
          <w:rFonts w:ascii="Times New Roman" w:cs="Times New Roman" w:eastAsia="Times New Roman" w:hAnsi="Times New Roman"/>
          <w:color w:val="000000"/>
          <w:sz w:val="24"/>
          <w:szCs w:val="24"/>
          <w:rtl w:val="0"/>
        </w:rPr>
        <w:t xml:space="preserve">, 2022</w:t>
      </w: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Introduction</w:t>
      </w:r>
    </w:p>
    <w:p w:rsidR="00000000" w:rsidDel="00000000" w:rsidP="00000000" w:rsidRDefault="00000000" w:rsidRPr="00000000" w14:paraId="00000026">
      <w:pPr>
        <w:spacing w:line="480" w:lineRule="auto"/>
        <w:ind w:firstLine="720"/>
        <w:rPr>
          <w:rFonts w:ascii="Times New Roman" w:cs="Times New Roman" w:eastAsia="Times New Roman" w:hAnsi="Times New Roman"/>
          <w:color w:val="000000"/>
          <w:sz w:val="24"/>
          <w:szCs w:val="24"/>
          <w:highlight w:val="white"/>
        </w:rPr>
      </w:pPr>
      <w:r w:rsidDel="00000000" w:rsidR="00000000" w:rsidRPr="00000000">
        <w:rPr>
          <w:rFonts w:ascii="Times New Roman" w:cs="Times New Roman" w:eastAsia="Times New Roman" w:hAnsi="Times New Roman"/>
          <w:color w:val="000000"/>
          <w:sz w:val="24"/>
          <w:szCs w:val="24"/>
          <w:highlight w:val="white"/>
          <w:rtl w:val="0"/>
        </w:rPr>
        <w:t xml:space="preserve">Mental health counseling requires the counselor to create a relationship with their client that allows them to trust and disclose their feelings/past traumas. Empathy is necessary throughout the session to ensure clients feel seen, understood, and heard by their counselor. A counselor must understand their body language, tone of voice, and how to be an effective communicator. I want to effectively treat my client with patience, understanding, empathy, and patience. My client should be able to disclose any information without fear of judgment. Instead, I want them to view their disclosure of their life experiences and feelings as an honor to me. It is a privilege to have the opportunity to learn and understand my client to help them succeed in treatment.</w:t>
      </w:r>
    </w:p>
    <w:p w:rsidR="00000000" w:rsidDel="00000000" w:rsidP="00000000" w:rsidRDefault="00000000" w:rsidRPr="00000000" w14:paraId="00000027">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Counselor Role</w:t>
      </w:r>
    </w:p>
    <w:p w:rsidR="00000000" w:rsidDel="00000000" w:rsidP="00000000" w:rsidRDefault="00000000" w:rsidRPr="00000000" w14:paraId="00000028">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There are many different professions within the mental health community. It is significant for individuals within the mental health community to have their certifications and licensure to establish their identity and scope of practice (West et al., 1987). Each licensure will limit and allot the responsibilities for each profession. Mental health counselors can be employed in private sectors, county sectors, schools, or hospitals. When cases highly impact a school for their students, there is an outreach to local/county resources to aid the youth at the school. Mental health counselors can collaborate with school counselors to broaden the reach for at-risk youth or youth battling mental health disorders (Keys et al., 1998). </w:t>
      </w:r>
    </w:p>
    <w:p w:rsidR="00000000" w:rsidDel="00000000" w:rsidP="00000000" w:rsidRDefault="00000000" w:rsidRPr="00000000" w14:paraId="00000029">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school counselor can establish the academic goals the student is reaching for and collaborate the emotional health goals into their school environment to ensure they strive academically and emotionally. The boundaries of the scope of practice for the mental health counselor would be the inability to diagnose a learning disability and the development of the IEP. The mental health counselor can recommend implementing coping skills for their IEP to ensure they have time allotted to access them during academic times. If the student experiences panic attacks from social anxiety, they can suggest taking time to walk around the track to change the student's environment to help them calm down. </w:t>
      </w:r>
    </w:p>
    <w:p w:rsidR="00000000" w:rsidDel="00000000" w:rsidP="00000000" w:rsidRDefault="00000000" w:rsidRPr="00000000" w14:paraId="0000002A">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Counselor Identity Strategies</w:t>
      </w:r>
    </w:p>
    <w:p w:rsidR="00000000" w:rsidDel="00000000" w:rsidP="00000000" w:rsidRDefault="00000000" w:rsidRPr="00000000" w14:paraId="0000002B">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essential that I do not let unmanaged stress to influence my personal and professional presentation, decision making and influence my ability to critical think (Fink-Samnick, 2022). It is essential for the client not to feel that I am a hypocrite when explaining changes they need to take to change their life. If I am not actively making an effort to change myself and learn how to take care of myself, my client will notice it. If I recommend that my client should stop drinking a diary beverage because it makes their stomach hurt all of the time. I still do the same thing, and it affects me negatively. I am not leading by example. I have to take care of myself and not participate in self-destructive behaviors. Everyone is human, and there will be times when I make mistakes in my personal life. I must actively respect my mind, body, and soul. </w:t>
      </w:r>
    </w:p>
    <w:p w:rsidR="00000000" w:rsidDel="00000000" w:rsidP="00000000" w:rsidRDefault="00000000" w:rsidRPr="00000000" w14:paraId="0000002C">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best assist my client, I must understand the bright and dark sides of making a decision (Egan &amp; Reese, 2019). Creating an environment where the client can become more self-aware and the consequences that may occur behind their decision-making. Establishing this boundary is not a fear tactic; instead, it is a life skill. Critical thinking is critical to setting boundaries, making logical decisions, and ensuring that danger is minimized. If clients keep returning to a relationship that doesn’t serve them, they will learn that returning disrespects their self-esteem. Establishing boundaries and loving yourself creates confidence that is hard to tear down. As a licensed professional, I will remind them of the self-esteem that I know they have and accept when they make mistakes.</w:t>
      </w:r>
    </w:p>
    <w:p w:rsidR="00000000" w:rsidDel="00000000" w:rsidP="00000000" w:rsidRDefault="00000000" w:rsidRPr="00000000" w14:paraId="0000002D">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Dispositions</w:t>
      </w:r>
    </w:p>
    <w:p w:rsidR="00000000" w:rsidDel="00000000" w:rsidP="00000000" w:rsidRDefault="00000000" w:rsidRPr="00000000" w14:paraId="0000002E">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counseling relationship that I create with my clients has to be based on my ability to have the following: self-awareness, cultural diversity, psychological fitness, empathy, genuineness, acceptance, patience, flexibility, amiability, and professional identity (Grand Canyon University, 2015). I understand how the client can interpret the body language as unavailable, annoyed, or irritated. After gaining this knowledge, I learned more about my ability to be self-aware and conscious of my mannerisms. Self-Awareness also includes the privilege I have of not having a culture that is heavily criticized or misunderstood. When I have a client with culture and race that is misunderstood and oppressed, I will treat their encounters with respect. I must be aware that my lack of experience with oppression may come off as insensitive and nonunderstanding. I thrive on respecting cultural diversity and portraying empathy with all experiences. </w:t>
      </w:r>
    </w:p>
    <w:p w:rsidR="00000000" w:rsidDel="00000000" w:rsidP="00000000" w:rsidRDefault="00000000" w:rsidRPr="00000000" w14:paraId="0000002F">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Counseling Skills</w:t>
      </w:r>
    </w:p>
    <w:p w:rsidR="00000000" w:rsidDel="00000000" w:rsidP="00000000" w:rsidRDefault="00000000" w:rsidRPr="00000000" w14:paraId="00000030">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effectively build rapport with my client, I must tune in, listen actively, respond with empathy, and check to understate (Egan &amp; Reese, 2019). Clients need space to talk and gather their thoughts around life experiences/traumas. I should not be completing their sentences or assuming what their feelings are. It takes time to establish trust and establish the expectations the clients should have for me. I will not judge them based on their life decisions or feelings. I am here for them to select what could be disrupting their ability to function adequately and help them create coping skills to battle their problems. I will constantly analyze how to help them conquer their actions and create an environment that allows them to flourish. I will have to study my body language and the tone of my voice to ensure that my client is comfortable. My posture should be relaxed, and my arms should be uncrossed throughout the session to avoid appearing unimpressed or annoyed. My eye contact should be consistent and not looming over the client. If my client avoids all eye contact and their body language is constricted. I may need to try something other than sitting across from each other and talking. I can see if magnolia coloring can help them feel less pressured or offer them to sit in another setting. If the client prefers to lie on the couch to talk as I sit near them instead of making direct eye contact, which can be arranged.</w:t>
      </w:r>
    </w:p>
    <w:p w:rsidR="00000000" w:rsidDel="00000000" w:rsidP="00000000" w:rsidRDefault="00000000" w:rsidRPr="00000000" w14:paraId="00000031">
      <w:pP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Therapy Knowledge</w:t>
      </w:r>
    </w:p>
    <w:p w:rsidR="00000000" w:rsidDel="00000000" w:rsidP="00000000" w:rsidRDefault="00000000" w:rsidRPr="00000000" w14:paraId="00000032">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Counselors must examine the concept of power helps them become aware of the assumptions they have around the theories they are using (Singh et al., 2020). If the counselor is not conscious of the theory they are using, it can confuse the client regarding their goals. If a counselor established that sessions would be based on a solution-based approach, then there is no deep dive into the client's past. If sessions begin to analyze the past instead of creating solutions for present-day problems, treatment becomes confusing and ineffective. Counselors can use multiple practices to help clients cope with their daily life. The session's path should flow based on their goals and not confuse the client. Clients may respond better to one theory compared to another. It may be advised that counselor continue their learning and refreshments on updated strategies to best treat clients.</w:t>
      </w:r>
    </w:p>
    <w:p w:rsidR="00000000" w:rsidDel="00000000" w:rsidP="00000000" w:rsidRDefault="00000000" w:rsidRPr="00000000" w14:paraId="00000033">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Conclusion</w:t>
      </w:r>
    </w:p>
    <w:p w:rsidR="00000000" w:rsidDel="00000000" w:rsidP="00000000" w:rsidRDefault="00000000" w:rsidRPr="00000000" w14:paraId="00000034">
      <w:pPr>
        <w:spacing w:line="480" w:lineRule="auto"/>
        <w:ind w:firstLine="72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sz w:val="24"/>
          <w:szCs w:val="24"/>
          <w:rtl w:val="0"/>
        </w:rPr>
        <w:t xml:space="preserve">To establish an effective counseling relationship, clients must feel understood, seen, and heard. Counselors should display patience, empathy, understanding, and cultural diversity to ensure the client is not harmed. Sessions should be established around the counseling theory that best suits the need of the client. If the client is not receptive to sessions, then there is a need to resist the treatment plan and the coping skills.</w:t>
      </w:r>
      <w:r w:rsidDel="00000000" w:rsidR="00000000" w:rsidRPr="00000000">
        <w:rPr>
          <w:rtl w:val="0"/>
        </w:rPr>
      </w:r>
    </w:p>
    <w:p w:rsidR="00000000" w:rsidDel="00000000" w:rsidP="00000000" w:rsidRDefault="00000000" w:rsidRPr="00000000" w14:paraId="00000035">
      <w:pPr>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36">
      <w:pPr>
        <w:jc w:val="center"/>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References</w:t>
      </w:r>
    </w:p>
    <w:p w:rsidR="00000000" w:rsidDel="00000000" w:rsidP="00000000" w:rsidRDefault="00000000" w:rsidRPr="00000000" w14:paraId="00000037">
      <w:pPr>
        <w:spacing w:line="240" w:lineRule="auto"/>
        <w:rPr>
          <w:rFonts w:ascii="Times New Roman" w:cs="Times New Roman" w:eastAsia="Times New Roman" w:hAnsi="Times New Roman"/>
          <w:i w:val="1"/>
          <w:iCs w:val="1"/>
          <w:color w:val="000000"/>
          <w:sz w:val="24"/>
          <w:szCs w:val="24"/>
          <w:highlight w:val="white"/>
        </w:rPr>
      </w:pPr>
      <w:r w:rsidDel="00000000" w:rsidR="00000000" w:rsidRPr="00000000">
        <w:rPr>
          <w:rFonts w:ascii="Times New Roman" w:cs="Times New Roman" w:eastAsia="Times New Roman" w:hAnsi="Times New Roman"/>
          <w:color w:val="000000"/>
          <w:sz w:val="24"/>
          <w:szCs w:val="24"/>
          <w:highlight w:val="white"/>
          <w:rtl w:val="0"/>
        </w:rPr>
        <w:t xml:space="preserve">Egan, G. &amp; Reese, R. (2019). </w:t>
      </w:r>
      <w:r w:rsidDel="00000000" w:rsidR="00000000" w:rsidRPr="00000000">
        <w:rPr>
          <w:rFonts w:ascii="Times New Roman" w:cs="Times New Roman" w:eastAsia="Times New Roman" w:hAnsi="Times New Roman"/>
          <w:i w:val="1"/>
          <w:iCs w:val="1"/>
          <w:color w:val="000000"/>
          <w:sz w:val="24"/>
          <w:szCs w:val="24"/>
          <w:highlight w:val="white"/>
          <w:rtl w:val="0"/>
        </w:rPr>
        <w:t xml:space="preserve">The skilled helper: A problem management and opportunity </w:t>
      </w:r>
    </w:p>
    <w:p w:rsidR="00000000" w:rsidDel="00000000" w:rsidP="00000000" w:rsidRDefault="00000000" w:rsidRPr="00000000" w14:paraId="00000038">
      <w:pPr>
        <w:spacing w:line="240" w:lineRule="auto"/>
        <w:ind w:firstLine="720"/>
        <w:rPr>
          <w:rFonts w:ascii="Times New Roman" w:cs="Times New Roman" w:eastAsia="Times New Roman" w:hAnsi="Times New Roman"/>
          <w:color w:val="000000"/>
          <w:sz w:val="24"/>
          <w:szCs w:val="24"/>
          <w:highlight w:val="white"/>
        </w:rPr>
      </w:pPr>
      <w:r w:rsidDel="00000000" w:rsidR="00000000" w:rsidRPr="00000000">
        <w:rPr>
          <w:rFonts w:ascii="Times New Roman" w:cs="Times New Roman" w:eastAsia="Times New Roman" w:hAnsi="Times New Roman"/>
          <w:i w:val="1"/>
          <w:iCs w:val="1"/>
          <w:color w:val="000000"/>
          <w:sz w:val="24"/>
          <w:szCs w:val="24"/>
          <w:highlight w:val="white"/>
          <w:rtl w:val="0"/>
        </w:rPr>
        <w:t xml:space="preserve">development approach to helping</w:t>
      </w:r>
      <w:r w:rsidDel="00000000" w:rsidR="00000000" w:rsidRPr="00000000">
        <w:rPr>
          <w:rFonts w:ascii="Times New Roman" w:cs="Times New Roman" w:eastAsia="Times New Roman" w:hAnsi="Times New Roman"/>
          <w:color w:val="000000"/>
          <w:sz w:val="24"/>
          <w:szCs w:val="24"/>
          <w:highlight w:val="white"/>
          <w:rtl w:val="0"/>
        </w:rPr>
        <w:t xml:space="preserve"> (11th ed.). Brooks Cole Publisher. ISBN-13: </w:t>
      </w:r>
    </w:p>
    <w:p w:rsidR="00000000" w:rsidDel="00000000" w:rsidP="00000000" w:rsidRDefault="00000000" w:rsidRPr="00000000" w14:paraId="00000039">
      <w:pPr>
        <w:spacing w:line="240" w:lineRule="auto"/>
        <w:ind w:firstLine="720"/>
        <w:rPr>
          <w:rFonts w:ascii="Times New Roman" w:cs="Times New Roman" w:eastAsia="Times New Roman" w:hAnsi="Times New Roman"/>
          <w:color w:val="000000"/>
          <w:sz w:val="24"/>
          <w:szCs w:val="24"/>
          <w:highlight w:val="white"/>
        </w:rPr>
      </w:pPr>
      <w:r w:rsidDel="00000000" w:rsidR="00000000" w:rsidRPr="00000000">
        <w:rPr>
          <w:rFonts w:ascii="Times New Roman" w:cs="Times New Roman" w:eastAsia="Times New Roman" w:hAnsi="Times New Roman"/>
          <w:color w:val="000000"/>
          <w:sz w:val="24"/>
          <w:szCs w:val="24"/>
          <w:highlight w:val="white"/>
          <w:rtl w:val="0"/>
        </w:rPr>
        <w:t xml:space="preserve">9781305865716</w:t>
      </w:r>
    </w:p>
    <w:p w:rsidR="00000000" w:rsidDel="00000000" w:rsidP="00000000" w:rsidRDefault="00000000" w:rsidRPr="00000000" w14:paraId="0000003A">
      <w:pPr>
        <w:spacing w:line="240" w:lineRule="auto"/>
        <w:rPr>
          <w:rFonts w:ascii="Times New Roman" w:cs="Times New Roman" w:eastAsia="Times New Roman" w:hAnsi="Times New Roman"/>
          <w:color w:val="000000"/>
          <w:sz w:val="24"/>
          <w:szCs w:val="24"/>
          <w:highlight w:val="white"/>
        </w:rPr>
      </w:pPr>
      <w:r w:rsidDel="00000000" w:rsidR="00000000" w:rsidRPr="00000000">
        <w:rPr>
          <w:rFonts w:ascii="Times New Roman" w:cs="Times New Roman" w:eastAsia="Times New Roman" w:hAnsi="Times New Roman"/>
          <w:color w:val="000000"/>
          <w:sz w:val="24"/>
          <w:szCs w:val="24"/>
          <w:highlight w:val="white"/>
          <w:rtl w:val="0"/>
        </w:rPr>
        <w:t xml:space="preserve">Fink-Samnick, E. (2022). Collective occupational trauma, health care quality, and trauma-</w:t>
      </w:r>
    </w:p>
    <w:p w:rsidR="00000000" w:rsidDel="00000000" w:rsidP="00000000" w:rsidRDefault="00000000" w:rsidRPr="00000000" w14:paraId="0000003B">
      <w:pPr>
        <w:spacing w:line="240" w:lineRule="auto"/>
        <w:ind w:firstLine="720"/>
        <w:rPr>
          <w:rFonts w:ascii="Times New Roman" w:cs="Times New Roman" w:eastAsia="Times New Roman" w:hAnsi="Times New Roman"/>
          <w:i w:val="1"/>
          <w:iCs w:val="1"/>
          <w:color w:val="000000"/>
          <w:sz w:val="24"/>
          <w:szCs w:val="24"/>
          <w:highlight w:val="white"/>
        </w:rPr>
      </w:pPr>
      <w:r w:rsidDel="00000000" w:rsidR="00000000" w:rsidRPr="00000000">
        <w:rPr>
          <w:rFonts w:ascii="Times New Roman" w:cs="Times New Roman" w:eastAsia="Times New Roman" w:hAnsi="Times New Roman"/>
          <w:color w:val="000000"/>
          <w:sz w:val="24"/>
          <w:szCs w:val="24"/>
          <w:highlight w:val="white"/>
          <w:rtl w:val="0"/>
        </w:rPr>
        <w:t xml:space="preserve">informed leadership: Intersections and implications. </w:t>
      </w:r>
      <w:r w:rsidDel="00000000" w:rsidR="00000000" w:rsidRPr="00000000">
        <w:rPr>
          <w:rFonts w:ascii="Times New Roman" w:cs="Times New Roman" w:eastAsia="Times New Roman" w:hAnsi="Times New Roman"/>
          <w:i w:val="1"/>
          <w:iCs w:val="1"/>
          <w:color w:val="000000"/>
          <w:sz w:val="24"/>
          <w:szCs w:val="24"/>
          <w:highlight w:val="white"/>
          <w:rtl w:val="0"/>
        </w:rPr>
        <w:t xml:space="preserve">Professional Case </w:t>
      </w:r>
    </w:p>
    <w:p w:rsidR="00000000" w:rsidDel="00000000" w:rsidP="00000000" w:rsidRDefault="00000000" w:rsidRPr="00000000" w14:paraId="0000003C">
      <w:pPr>
        <w:spacing w:line="240" w:lineRule="auto"/>
        <w:ind w:firstLine="720"/>
        <w:rPr>
          <w:rFonts w:ascii="Times New Roman" w:cs="Times New Roman" w:eastAsia="Times New Roman" w:hAnsi="Times New Roman"/>
          <w:color w:val="000000"/>
          <w:highlight w:val="white"/>
        </w:rPr>
      </w:pPr>
      <w:r w:rsidDel="00000000" w:rsidR="00000000" w:rsidRPr="00000000">
        <w:rPr>
          <w:rFonts w:ascii="Times New Roman" w:cs="Times New Roman" w:eastAsia="Times New Roman" w:hAnsi="Times New Roman"/>
          <w:i w:val="1"/>
          <w:iCs w:val="1"/>
          <w:color w:val="000000"/>
          <w:highlight w:val="white"/>
          <w:rtl w:val="0"/>
        </w:rPr>
        <w:t xml:space="preserve">Management</w:t>
      </w:r>
      <w:r w:rsidDel="00000000" w:rsidR="00000000" w:rsidRPr="00000000">
        <w:rPr>
          <w:rFonts w:ascii="Times New Roman" w:cs="Times New Roman" w:eastAsia="Times New Roman" w:hAnsi="Times New Roman"/>
          <w:color w:val="000000"/>
          <w:highlight w:val="white"/>
          <w:rtl w:val="0"/>
        </w:rPr>
        <w:t xml:space="preserve">, </w:t>
      </w:r>
      <w:r w:rsidDel="00000000" w:rsidR="00000000" w:rsidRPr="00000000">
        <w:rPr>
          <w:rFonts w:ascii="Times New Roman" w:cs="Times New Roman" w:eastAsia="Times New Roman" w:hAnsi="Times New Roman"/>
          <w:i w:val="1"/>
          <w:iCs w:val="1"/>
          <w:color w:val="000000"/>
          <w:highlight w:val="white"/>
          <w:rtl w:val="0"/>
        </w:rPr>
        <w:t xml:space="preserve">27</w:t>
      </w:r>
      <w:r w:rsidDel="00000000" w:rsidR="00000000" w:rsidRPr="00000000">
        <w:rPr>
          <w:rFonts w:ascii="Times New Roman" w:cs="Times New Roman" w:eastAsia="Times New Roman" w:hAnsi="Times New Roman"/>
          <w:color w:val="000000"/>
          <w:highlight w:val="white"/>
          <w:rtl w:val="0"/>
        </w:rPr>
        <w:t xml:space="preserve">(3), 107.</w:t>
      </w:r>
      <w:r w:rsidDel="00000000" w:rsidR="00000000" w:rsidRPr="00000000">
        <w:rPr>
          <w:rFonts w:ascii="Times New Roman" w:cs="Times New Roman" w:eastAsia="Times New Roman" w:hAnsi="Times New Roman"/>
          <w:color w:val="000000"/>
          <w:sz w:val="24"/>
          <w:szCs w:val="24"/>
          <w:highlight w:val="white"/>
          <w:rtl w:val="0"/>
        </w:rPr>
        <w:t xml:space="preserve"> </w:t>
      </w:r>
      <w:hyperlink r:id="rId7">
        <w:r w:rsidDel="00000000" w:rsidR="00000000" w:rsidRPr="00000000">
          <w:rPr>
            <w:rFonts w:ascii="Times New Roman" w:cs="Times New Roman" w:eastAsia="Times New Roman" w:hAnsi="Times New Roman"/>
            <w:color w:val="1155cc"/>
            <w:highlight w:val="white"/>
            <w:u w:val="single"/>
            <w:rtl w:val="0"/>
          </w:rPr>
          <w:t xml:space="preserve">https://doiorg.lopes.idm.oclc.org/10.1097/NCM.0000000000000559</w:t>
        </w:r>
      </w:hyperlink>
      <w:r w:rsidDel="00000000" w:rsidR="00000000" w:rsidRPr="00000000">
        <w:rPr>
          <w:rtl w:val="0"/>
        </w:rPr>
      </w:r>
    </w:p>
    <w:p w:rsidR="00000000" w:rsidDel="00000000" w:rsidP="00000000" w:rsidRDefault="00000000" w:rsidRPr="00000000" w14:paraId="0000003D">
      <w:pPr>
        <w:spacing w:line="240" w:lineRule="auto"/>
        <w:rPr>
          <w:rFonts w:ascii="Times New Roman" w:cs="Times New Roman" w:eastAsia="Times New Roman" w:hAnsi="Times New Roman"/>
          <w:color w:val="000000"/>
          <w:sz w:val="24"/>
          <w:szCs w:val="24"/>
          <w:highlight w:val="white"/>
        </w:rPr>
      </w:pPr>
      <w:r w:rsidDel="00000000" w:rsidR="00000000" w:rsidRPr="00000000">
        <w:rPr>
          <w:rFonts w:ascii="Times New Roman" w:cs="Times New Roman" w:eastAsia="Times New Roman" w:hAnsi="Times New Roman"/>
          <w:color w:val="000000"/>
          <w:sz w:val="24"/>
          <w:szCs w:val="24"/>
          <w:highlight w:val="white"/>
          <w:rtl w:val="0"/>
        </w:rPr>
        <w:t xml:space="preserve">Grand Canyon University. (2015). </w:t>
      </w:r>
      <w:r w:rsidDel="00000000" w:rsidR="00000000" w:rsidRPr="00000000">
        <w:rPr>
          <w:rFonts w:ascii="Times New Roman" w:cs="Times New Roman" w:eastAsia="Times New Roman" w:hAnsi="Times New Roman"/>
          <w:i w:val="1"/>
          <w:iCs w:val="1"/>
          <w:color w:val="000000"/>
          <w:sz w:val="24"/>
          <w:szCs w:val="24"/>
          <w:highlight w:val="white"/>
          <w:rtl w:val="0"/>
        </w:rPr>
        <w:t xml:space="preserve">Counselor </w:t>
      </w:r>
      <w:r w:rsidDel="00000000" w:rsidR="00000000" w:rsidRPr="00000000">
        <w:rPr>
          <w:rFonts w:ascii="Times New Roman" w:cs="Times New Roman" w:eastAsia="Times New Roman" w:hAnsi="Times New Roman"/>
          <w:i w:val="1"/>
          <w:iCs w:val="1"/>
          <w:sz w:val="24"/>
          <w:szCs w:val="24"/>
          <w:highlight w:val="white"/>
          <w:rtl w:val="0"/>
        </w:rPr>
        <w:t xml:space="preserve">d</w:t>
      </w:r>
      <w:r w:rsidDel="00000000" w:rsidR="00000000" w:rsidRPr="00000000">
        <w:rPr>
          <w:rFonts w:ascii="Times New Roman" w:cs="Times New Roman" w:eastAsia="Times New Roman" w:hAnsi="Times New Roman"/>
          <w:i w:val="1"/>
          <w:iCs w:val="1"/>
          <w:color w:val="000000"/>
          <w:sz w:val="24"/>
          <w:szCs w:val="24"/>
          <w:highlight w:val="white"/>
          <w:rtl w:val="0"/>
        </w:rPr>
        <w:t xml:space="preserve">ispositional </w:t>
      </w:r>
      <w:r w:rsidDel="00000000" w:rsidR="00000000" w:rsidRPr="00000000">
        <w:rPr>
          <w:rFonts w:ascii="Times New Roman" w:cs="Times New Roman" w:eastAsia="Times New Roman" w:hAnsi="Times New Roman"/>
          <w:i w:val="1"/>
          <w:iCs w:val="1"/>
          <w:sz w:val="24"/>
          <w:szCs w:val="24"/>
          <w:highlight w:val="white"/>
          <w:rtl w:val="0"/>
        </w:rPr>
        <w:t xml:space="preserve">e</w:t>
      </w:r>
      <w:r w:rsidDel="00000000" w:rsidR="00000000" w:rsidRPr="00000000">
        <w:rPr>
          <w:rFonts w:ascii="Times New Roman" w:cs="Times New Roman" w:eastAsia="Times New Roman" w:hAnsi="Times New Roman"/>
          <w:i w:val="1"/>
          <w:iCs w:val="1"/>
          <w:color w:val="000000"/>
          <w:sz w:val="24"/>
          <w:szCs w:val="24"/>
          <w:highlight w:val="white"/>
          <w:rtl w:val="0"/>
        </w:rPr>
        <w:t xml:space="preserve">xpectations</w:t>
      </w:r>
      <w:r w:rsidDel="00000000" w:rsidR="00000000" w:rsidRPr="00000000">
        <w:rPr>
          <w:rFonts w:ascii="Times New Roman" w:cs="Times New Roman" w:eastAsia="Times New Roman" w:hAnsi="Times New Roman"/>
          <w:color w:val="000000"/>
          <w:sz w:val="24"/>
          <w:szCs w:val="24"/>
          <w:highlight w:val="white"/>
          <w:rtl w:val="0"/>
        </w:rPr>
        <w:t xml:space="preserve">. </w:t>
      </w:r>
    </w:p>
    <w:p w:rsidR="00000000" w:rsidDel="00000000" w:rsidP="00000000" w:rsidRDefault="00000000" w:rsidRPr="00000000" w14:paraId="0000003E">
      <w:pPr>
        <w:spacing w:line="240" w:lineRule="auto"/>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ab/>
      </w:r>
      <w:hyperlink r:id="rId8">
        <w:r w:rsidDel="00000000" w:rsidR="00000000" w:rsidRPr="00000000">
          <w:rPr>
            <w:rFonts w:ascii="Times New Roman" w:cs="Times New Roman" w:eastAsia="Times New Roman" w:hAnsi="Times New Roman"/>
            <w:color w:val="1155cc"/>
            <w:sz w:val="24"/>
            <w:szCs w:val="24"/>
            <w:highlight w:val="white"/>
            <w:u w:val="single"/>
            <w:rtl w:val="0"/>
          </w:rPr>
          <w:t xml:space="preserve">https://aws-files.gcu.edu/ssc/chss/Counselor%20Dispositions.pdf</w:t>
        </w:r>
      </w:hyperlink>
      <w:r w:rsidDel="00000000" w:rsidR="00000000" w:rsidRPr="00000000">
        <w:rPr>
          <w:rtl w:val="0"/>
        </w:rPr>
      </w:r>
    </w:p>
    <w:p w:rsidR="00000000" w:rsidDel="00000000" w:rsidP="00000000" w:rsidRDefault="00000000" w:rsidRPr="00000000" w14:paraId="0000003F">
      <w:pPr>
        <w:spacing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Keys, S. G., Bemak, F., Carpenter, S. L., &amp; King-Sears, M. E. (1998). Collaborative consultant: </w:t>
      </w:r>
    </w:p>
    <w:p w:rsidR="00000000" w:rsidDel="00000000" w:rsidP="00000000" w:rsidRDefault="00000000" w:rsidRPr="00000000" w14:paraId="00000040">
      <w:pPr>
        <w:spacing w:line="240" w:lineRule="auto"/>
        <w:ind w:firstLine="720"/>
        <w:rPr>
          <w:rFonts w:ascii="Times New Roman" w:cs="Times New Roman" w:eastAsia="Times New Roman" w:hAnsi="Times New Roman"/>
          <w:i w:val="1"/>
          <w:iCs w:val="1"/>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A new role for counselors serving at-risk youths. </w:t>
      </w:r>
      <w:r w:rsidDel="00000000" w:rsidR="00000000" w:rsidRPr="00000000">
        <w:rPr>
          <w:rFonts w:ascii="Times New Roman" w:cs="Times New Roman" w:eastAsia="Times New Roman" w:hAnsi="Times New Roman"/>
          <w:i w:val="1"/>
          <w:iCs w:val="1"/>
          <w:color w:val="000000"/>
          <w:sz w:val="24"/>
          <w:szCs w:val="24"/>
          <w:rtl w:val="0"/>
        </w:rPr>
        <w:t xml:space="preserve">Journal of Counseling &amp; </w:t>
      </w:r>
    </w:p>
    <w:p w:rsidR="00000000" w:rsidDel="00000000" w:rsidP="00000000" w:rsidRDefault="00000000" w:rsidRPr="00000000" w14:paraId="00000041">
      <w:pPr>
        <w:spacing w:line="240" w:lineRule="auto"/>
        <w:ind w:firstLine="72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i w:val="1"/>
          <w:iCs w:val="1"/>
          <w:color w:val="000000"/>
          <w:sz w:val="24"/>
          <w:szCs w:val="24"/>
          <w:rtl w:val="0"/>
        </w:rPr>
        <w:t xml:space="preserve">Development</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i w:val="1"/>
          <w:iCs w:val="1"/>
          <w:color w:val="000000"/>
          <w:sz w:val="24"/>
          <w:szCs w:val="24"/>
          <w:rtl w:val="0"/>
        </w:rPr>
        <w:t xml:space="preserve">76</w:t>
      </w:r>
      <w:r w:rsidDel="00000000" w:rsidR="00000000" w:rsidRPr="00000000">
        <w:rPr>
          <w:rFonts w:ascii="Times New Roman" w:cs="Times New Roman" w:eastAsia="Times New Roman" w:hAnsi="Times New Roman"/>
          <w:color w:val="000000"/>
          <w:sz w:val="24"/>
          <w:szCs w:val="24"/>
          <w:rtl w:val="0"/>
        </w:rPr>
        <w:t xml:space="preserve">(2), 123–133. </w:t>
      </w:r>
      <w:hyperlink r:id="rId9">
        <w:r w:rsidDel="00000000" w:rsidR="00000000" w:rsidRPr="00000000">
          <w:rPr>
            <w:rFonts w:ascii="Times New Roman" w:cs="Times New Roman" w:eastAsia="Times New Roman" w:hAnsi="Times New Roman"/>
            <w:color w:val="1155cc"/>
            <w:sz w:val="24"/>
            <w:szCs w:val="24"/>
            <w:u w:val="single"/>
            <w:rtl w:val="0"/>
          </w:rPr>
          <w:t xml:space="preserve">https://doi-org.lopes.idm.oclc.org/10.1002/j.1556-</w:t>
        </w:r>
      </w:hyperlink>
      <w:r w:rsidDel="00000000" w:rsidR="00000000" w:rsidRPr="00000000">
        <w:rPr>
          <w:rtl w:val="0"/>
        </w:rPr>
      </w:r>
    </w:p>
    <w:p w:rsidR="00000000" w:rsidDel="00000000" w:rsidP="00000000" w:rsidRDefault="00000000" w:rsidRPr="00000000" w14:paraId="00000042">
      <w:pPr>
        <w:spacing w:line="240" w:lineRule="auto"/>
        <w:ind w:firstLine="720"/>
        <w:rPr>
          <w:rFonts w:ascii="Times New Roman" w:cs="Times New Roman" w:eastAsia="Times New Roman" w:hAnsi="Times New Roman"/>
          <w:color w:val="000000"/>
          <w:sz w:val="24"/>
          <w:szCs w:val="24"/>
        </w:rPr>
      </w:pPr>
      <w:hyperlink r:id="rId10">
        <w:r w:rsidDel="00000000" w:rsidR="00000000" w:rsidRPr="00000000">
          <w:rPr>
            <w:rFonts w:ascii="Times New Roman" w:cs="Times New Roman" w:eastAsia="Times New Roman" w:hAnsi="Times New Roman"/>
            <w:color w:val="1155cc"/>
            <w:sz w:val="24"/>
            <w:szCs w:val="24"/>
            <w:u w:val="single"/>
            <w:rtl w:val="0"/>
          </w:rPr>
          <w:t xml:space="preserve">6676.1998.tb02385.x</w:t>
        </w:r>
      </w:hyperlink>
      <w:r w:rsidDel="00000000" w:rsidR="00000000" w:rsidRPr="00000000">
        <w:rPr>
          <w:rtl w:val="0"/>
        </w:rPr>
      </w:r>
    </w:p>
    <w:p w:rsidR="00000000" w:rsidDel="00000000" w:rsidP="00000000" w:rsidRDefault="00000000" w:rsidRPr="00000000" w14:paraId="00000043">
      <w:pPr>
        <w:spacing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Singh, A. A., Appling, B., &amp; Trepal, H. (2020). Using the multicultural and social justice </w:t>
      </w:r>
    </w:p>
    <w:p w:rsidR="00000000" w:rsidDel="00000000" w:rsidP="00000000" w:rsidRDefault="00000000" w:rsidRPr="00000000" w14:paraId="00000044">
      <w:pPr>
        <w:spacing w:line="240" w:lineRule="auto"/>
        <w:ind w:firstLine="72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counseling competencies to decolonize counseling practice: The important roles of </w:t>
      </w:r>
    </w:p>
    <w:p w:rsidR="00000000" w:rsidDel="00000000" w:rsidP="00000000" w:rsidRDefault="00000000" w:rsidRPr="00000000" w14:paraId="00000045">
      <w:pPr>
        <w:spacing w:line="240" w:lineRule="auto"/>
        <w:ind w:firstLine="72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theory, power, and action. </w:t>
      </w:r>
      <w:r w:rsidDel="00000000" w:rsidR="00000000" w:rsidRPr="00000000">
        <w:rPr>
          <w:rFonts w:ascii="Times New Roman" w:cs="Times New Roman" w:eastAsia="Times New Roman" w:hAnsi="Times New Roman"/>
          <w:i w:val="1"/>
          <w:iCs w:val="1"/>
          <w:color w:val="000000"/>
          <w:sz w:val="24"/>
          <w:szCs w:val="24"/>
          <w:rtl w:val="0"/>
        </w:rPr>
        <w:t xml:space="preserve">Journal of Counseling &amp; Development</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i w:val="1"/>
          <w:iCs w:val="1"/>
          <w:color w:val="000000"/>
          <w:sz w:val="24"/>
          <w:szCs w:val="24"/>
          <w:rtl w:val="0"/>
        </w:rPr>
        <w:t xml:space="preserve">98</w:t>
      </w:r>
      <w:r w:rsidDel="00000000" w:rsidR="00000000" w:rsidRPr="00000000">
        <w:rPr>
          <w:rFonts w:ascii="Times New Roman" w:cs="Times New Roman" w:eastAsia="Times New Roman" w:hAnsi="Times New Roman"/>
          <w:color w:val="000000"/>
          <w:sz w:val="24"/>
          <w:szCs w:val="24"/>
          <w:rtl w:val="0"/>
        </w:rPr>
        <w:t xml:space="preserve">(3), 261–271. </w:t>
      </w:r>
    </w:p>
    <w:p w:rsidR="00000000" w:rsidDel="00000000" w:rsidP="00000000" w:rsidRDefault="00000000" w:rsidRPr="00000000" w14:paraId="00000046">
      <w:pPr>
        <w:spacing w:line="240" w:lineRule="auto"/>
        <w:ind w:firstLine="720"/>
        <w:rPr>
          <w:rFonts w:ascii="Times New Roman" w:cs="Times New Roman" w:eastAsia="Times New Roman" w:hAnsi="Times New Roman"/>
          <w:color w:val="000000"/>
          <w:sz w:val="24"/>
          <w:szCs w:val="24"/>
        </w:rPr>
      </w:pPr>
      <w:hyperlink r:id="rId11">
        <w:r w:rsidDel="00000000" w:rsidR="00000000" w:rsidRPr="00000000">
          <w:rPr>
            <w:rFonts w:ascii="Times New Roman" w:cs="Times New Roman" w:eastAsia="Times New Roman" w:hAnsi="Times New Roman"/>
            <w:color w:val="1155cc"/>
            <w:sz w:val="24"/>
            <w:szCs w:val="24"/>
            <w:u w:val="single"/>
            <w:rtl w:val="0"/>
          </w:rPr>
          <w:t xml:space="preserve">https://doi-org.lopes.idm.oclc.org/10.1002/jcad.12321</w:t>
        </w:r>
      </w:hyperlink>
      <w:r w:rsidDel="00000000" w:rsidR="00000000" w:rsidRPr="00000000">
        <w:rPr>
          <w:rtl w:val="0"/>
        </w:rPr>
      </w:r>
    </w:p>
    <w:p w:rsidR="00000000" w:rsidDel="00000000" w:rsidP="00000000" w:rsidRDefault="00000000" w:rsidRPr="00000000" w14:paraId="00000047">
      <w:pPr>
        <w:spacing w:line="240" w:lineRule="auto"/>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West, J. D., Hosie, T. W., &amp; Mackey, J. A. (1987). Employment and roles of counselors in </w:t>
      </w:r>
    </w:p>
    <w:p w:rsidR="00000000" w:rsidDel="00000000" w:rsidP="00000000" w:rsidRDefault="00000000" w:rsidRPr="00000000" w14:paraId="00000048">
      <w:pPr>
        <w:spacing w:line="240" w:lineRule="auto"/>
        <w:ind w:firstLine="720"/>
        <w:rPr>
          <w:rFonts w:ascii="Times New Roman" w:cs="Times New Roman" w:eastAsia="Times New Roman" w:hAnsi="Times New Roman"/>
          <w:color w:val="000000"/>
          <w:sz w:val="24"/>
          <w:szCs w:val="24"/>
        </w:rPr>
      </w:pPr>
      <w:r w:rsidDel="00000000" w:rsidR="00000000" w:rsidRPr="00000000">
        <w:rPr>
          <w:rFonts w:ascii="Times New Roman" w:cs="Times New Roman" w:eastAsia="Times New Roman" w:hAnsi="Times New Roman"/>
          <w:color w:val="000000"/>
          <w:sz w:val="24"/>
          <w:szCs w:val="24"/>
          <w:rtl w:val="0"/>
        </w:rPr>
        <w:t xml:space="preserve">mental health agencies. </w:t>
      </w:r>
      <w:r w:rsidDel="00000000" w:rsidR="00000000" w:rsidRPr="00000000">
        <w:rPr>
          <w:rFonts w:ascii="Times New Roman" w:cs="Times New Roman" w:eastAsia="Times New Roman" w:hAnsi="Times New Roman"/>
          <w:i w:val="1"/>
          <w:iCs w:val="1"/>
          <w:color w:val="000000"/>
          <w:sz w:val="24"/>
          <w:szCs w:val="24"/>
          <w:rtl w:val="0"/>
        </w:rPr>
        <w:t xml:space="preserve">Journal of Counseling &amp; Development</w:t>
      </w:r>
      <w:r w:rsidDel="00000000" w:rsidR="00000000" w:rsidRPr="00000000">
        <w:rPr>
          <w:rFonts w:ascii="Times New Roman" w:cs="Times New Roman" w:eastAsia="Times New Roman" w:hAnsi="Times New Roman"/>
          <w:color w:val="000000"/>
          <w:sz w:val="24"/>
          <w:szCs w:val="24"/>
          <w:rtl w:val="0"/>
        </w:rPr>
        <w:t xml:space="preserve">, </w:t>
      </w:r>
      <w:r w:rsidDel="00000000" w:rsidR="00000000" w:rsidRPr="00000000">
        <w:rPr>
          <w:rFonts w:ascii="Times New Roman" w:cs="Times New Roman" w:eastAsia="Times New Roman" w:hAnsi="Times New Roman"/>
          <w:i w:val="1"/>
          <w:iCs w:val="1"/>
          <w:color w:val="000000"/>
          <w:sz w:val="24"/>
          <w:szCs w:val="24"/>
          <w:rtl w:val="0"/>
        </w:rPr>
        <w:t xml:space="preserve">66</w:t>
      </w:r>
      <w:r w:rsidDel="00000000" w:rsidR="00000000" w:rsidRPr="00000000">
        <w:rPr>
          <w:rFonts w:ascii="Times New Roman" w:cs="Times New Roman" w:eastAsia="Times New Roman" w:hAnsi="Times New Roman"/>
          <w:color w:val="000000"/>
          <w:sz w:val="24"/>
          <w:szCs w:val="24"/>
          <w:rtl w:val="0"/>
        </w:rPr>
        <w:t xml:space="preserve">(3), 135. </w:t>
      </w:r>
      <w:hyperlink r:id="rId12">
        <w:r w:rsidDel="00000000" w:rsidR="00000000" w:rsidRPr="00000000">
          <w:rPr>
            <w:rFonts w:ascii="Times New Roman" w:cs="Times New Roman" w:eastAsia="Times New Roman" w:hAnsi="Times New Roman"/>
            <w:color w:val="1155cc"/>
            <w:sz w:val="24"/>
            <w:szCs w:val="24"/>
            <w:u w:val="single"/>
            <w:rtl w:val="0"/>
          </w:rPr>
          <w:t xml:space="preserve">https://doi-</w:t>
        </w:r>
      </w:hyperlink>
      <w:r w:rsidDel="00000000" w:rsidR="00000000" w:rsidRPr="00000000">
        <w:rPr>
          <w:rtl w:val="0"/>
        </w:rPr>
      </w:r>
    </w:p>
    <w:p w:rsidR="00000000" w:rsidDel="00000000" w:rsidP="00000000" w:rsidRDefault="00000000" w:rsidRPr="00000000" w14:paraId="00000049">
      <w:pPr>
        <w:spacing w:line="240" w:lineRule="auto"/>
        <w:ind w:firstLine="720"/>
        <w:rPr>
          <w:rFonts w:ascii="Times New Roman" w:cs="Times New Roman" w:eastAsia="Times New Roman" w:hAnsi="Times New Roman"/>
          <w:color w:val="000000"/>
          <w:sz w:val="24"/>
          <w:szCs w:val="24"/>
        </w:rPr>
      </w:pPr>
      <w:hyperlink r:id="rId13">
        <w:r w:rsidDel="00000000" w:rsidR="00000000" w:rsidRPr="00000000">
          <w:rPr>
            <w:rFonts w:ascii="Times New Roman" w:cs="Times New Roman" w:eastAsia="Times New Roman" w:hAnsi="Times New Roman"/>
            <w:color w:val="1155cc"/>
            <w:sz w:val="24"/>
            <w:szCs w:val="24"/>
            <w:u w:val="single"/>
            <w:rtl w:val="0"/>
          </w:rPr>
          <w:t xml:space="preserve">org.lopes.idm.oclc.org/10.1002/j.1556-6676.1987.tb00818.x</w:t>
        </w:r>
      </w:hyperlink>
      <w:r w:rsidDel="00000000" w:rsidR="00000000" w:rsidRPr="00000000">
        <w:rPr>
          <w:rtl w:val="0"/>
        </w:rPr>
      </w:r>
    </w:p>
    <w:sectPr>
      <w:headerReference r:id="rId14"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 w:name="Open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A">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4B">
    <w:pPr>
      <w:pBdr>
        <w:top w:space="0" w:sz="0" w:val="nil"/>
        <w:left w:space="0" w:sz="0" w:val="nil"/>
        <w:bottom w:space="0" w:sz="0" w:val="nil"/>
        <w:right w:space="0" w:sz="0" w:val="nil"/>
        <w:between w:space="0" w:sz="0" w:val="nil"/>
      </w:pBdr>
      <w:tabs>
        <w:tab w:val="center" w:leader="none" w:pos="4680"/>
        <w:tab w:val="right" w:leader="none" w:pos="9360"/>
      </w:tabs>
      <w:spacing w:after="0" w:line="240" w:lineRule="auto"/>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
      </w:rPr>
    </w:rPrDefault>
    <w:pPrDefault>
      <w:pPr>
        <w:spacing w:after="160" w:line="25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sz w:val="24"/>
      <w:szCs w:val="24"/>
    </w:rPr>
  </w:style>
  <w:style w:type="paragraph" w:styleId="Heading5">
    <w:name w:val="heading 5"/>
    <w:basedOn w:val="Normal"/>
    <w:next w:val="Normal"/>
    <w:pPr>
      <w:keepNext w:val="1"/>
      <w:keepLines w:val="1"/>
      <w:spacing w:after="40" w:before="220" w:lineRule="auto"/>
    </w:pPr>
    <w:rPr>
      <w:b w:val="1"/>
      <w:bCs w:val="1"/>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Normal0" w:customStyle="1">
    <w:name w:val="TableNormal"/>
    <w:tblPr>
      <w:tblCellMar>
        <w:top w:w="100.0" w:type="dxa"/>
        <w:left w:w="100.0" w:type="dxa"/>
        <w:bottom w:w="100.0" w:type="dxa"/>
        <w:right w:w="100.0" w:type="dxa"/>
      </w:tblCellMar>
    </w:tblPr>
  </w:style>
  <w:style w:type="character" w:styleId="Emphasis">
    <w:name w:val="Emphasis"/>
    <w:basedOn w:val="DefaultParagraphFont"/>
    <w:uiPriority w:val="20"/>
    <w:qFormat w:val="1"/>
    <w:rsid w:val="005003BD"/>
    <w:rPr>
      <w:i w:val="1"/>
      <w:iCs w:val="1"/>
    </w:rPr>
  </w:style>
  <w:style w:type="paragraph" w:styleId="Header">
    <w:name w:val="header"/>
    <w:basedOn w:val="Normal"/>
    <w:link w:val="HeaderChar"/>
    <w:uiPriority w:val="99"/>
    <w:unhideWhenUsed w:val="1"/>
    <w:rsid w:val="00CB1818"/>
    <w:pPr>
      <w:tabs>
        <w:tab w:val="center" w:pos="4680"/>
        <w:tab w:val="right" w:pos="9360"/>
      </w:tabs>
      <w:spacing w:after="0" w:line="240" w:lineRule="auto"/>
    </w:pPr>
  </w:style>
  <w:style w:type="character" w:styleId="HeaderChar" w:customStyle="1">
    <w:name w:val="Header Char"/>
    <w:basedOn w:val="DefaultParagraphFont"/>
    <w:link w:val="Header"/>
    <w:uiPriority w:val="99"/>
    <w:rsid w:val="00CB1818"/>
  </w:style>
  <w:style w:type="paragraph" w:styleId="Footer">
    <w:name w:val="footer"/>
    <w:basedOn w:val="Normal"/>
    <w:link w:val="FooterChar"/>
    <w:uiPriority w:val="99"/>
    <w:unhideWhenUsed w:val="1"/>
    <w:rsid w:val="00CB1818"/>
    <w:pPr>
      <w:tabs>
        <w:tab w:val="center" w:pos="4680"/>
        <w:tab w:val="right" w:pos="9360"/>
      </w:tabs>
      <w:spacing w:after="0" w:line="240" w:lineRule="auto"/>
    </w:pPr>
  </w:style>
  <w:style w:type="character" w:styleId="FooterChar" w:customStyle="1">
    <w:name w:val="Footer Char"/>
    <w:basedOn w:val="DefaultParagraphFont"/>
    <w:link w:val="Footer"/>
    <w:uiPriority w:val="99"/>
    <w:rsid w:val="00CB1818"/>
  </w:style>
  <w:style w:type="character" w:styleId="Hyperlink">
    <w:name w:val="Hyperlink"/>
    <w:basedOn w:val="DefaultParagraphFont"/>
    <w:uiPriority w:val="99"/>
    <w:unhideWhenUsed w:val="1"/>
    <w:rsid w:val="00BB1BA6"/>
    <w:rPr>
      <w:color w:val="0563c1" w:themeColor="hyperlink"/>
      <w:u w:val="single"/>
    </w:r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https://doi-org.lopes.idm.oclc.org/10.1002/jcad.12321" TargetMode="External"/><Relationship Id="rId10" Type="http://schemas.openxmlformats.org/officeDocument/2006/relationships/hyperlink" Target="https://doi-org.lopes.idm.oclc.org/10.1002/j.1556-" TargetMode="External"/><Relationship Id="rId13" Type="http://schemas.openxmlformats.org/officeDocument/2006/relationships/hyperlink" Target="about:blank" TargetMode="External"/><Relationship Id="rId12" Type="http://schemas.openxmlformats.org/officeDocument/2006/relationships/hyperlink" Target="about:blank"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doi-org.lopes.idm.oclc.org/10.1002/j.1556-" TargetMode="External"/><Relationship Id="rId14"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doiorg.lopes.idm.oclc.org/10.1097/NCM.0000000000000559" TargetMode="External"/><Relationship Id="rId8" Type="http://schemas.openxmlformats.org/officeDocument/2006/relationships/hyperlink" Target="https://aws-files.gcu.edu/ssc/chss/Counselor%20Dispositions.pdf"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OpenSans-regular.ttf"/><Relationship Id="rId2" Type="http://schemas.openxmlformats.org/officeDocument/2006/relationships/font" Target="fonts/OpenSans-bold.ttf"/><Relationship Id="rId3" Type="http://schemas.openxmlformats.org/officeDocument/2006/relationships/font" Target="fonts/OpenSans-italic.ttf"/><Relationship Id="rId4" Type="http://schemas.openxmlformats.org/officeDocument/2006/relationships/font" Target="fonts/Open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u5Ez0BX5wBW1jp37D6vG5k7gHfA==">CgMxLjAyDmguZjlpd2d5YnN6ZTl0OAByITFneGpSbHFpdk9SdWlQWkNsNU5jVkNMWUd3c19uemVaTw==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2025-12-17T23:44:00Z</dcterms:created>
  <dc:creator>Microsoft account</dc:creator>
</cp:coreProperties>
</file>