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02C9" w:rsidRDefault="004C02C9">
      <w:pPr>
        <w:pBdr>
          <w:top w:val="nil"/>
          <w:left w:val="nil"/>
          <w:bottom w:val="nil"/>
          <w:right w:val="nil"/>
          <w:between w:val="nil"/>
        </w:pBdr>
        <w:spacing w:line="276" w:lineRule="auto"/>
        <w:rPr>
          <w:b/>
          <w:bCs/>
          <w:color w:val="000000"/>
        </w:rPr>
      </w:pPr>
      <w:bookmarkStart w:id="0" w:name="_heading=h.5mky29460q6t" w:colFirst="0" w:colLast="0"/>
      <w:bookmarkStart w:id="1" w:name="_GoBack"/>
      <w:bookmarkEnd w:id="0"/>
      <w:bookmarkEnd w:id="1"/>
    </w:p>
    <w:p w:rsidR="004C02C9" w:rsidRDefault="006C0905">
      <w:pPr>
        <w:pBdr>
          <w:top w:val="nil"/>
          <w:left w:val="nil"/>
          <w:bottom w:val="nil"/>
          <w:right w:val="nil"/>
          <w:between w:val="nil"/>
        </w:pBdr>
        <w:spacing w:line="276" w:lineRule="auto"/>
        <w:jc w:val="center"/>
        <w:rPr>
          <w:b/>
          <w:bCs/>
          <w:color w:val="000000"/>
          <w:sz w:val="32"/>
          <w:szCs w:val="32"/>
        </w:rPr>
      </w:pPr>
      <w:r>
        <w:rPr>
          <w:b/>
          <w:bCs/>
          <w:color w:val="000000"/>
          <w:sz w:val="32"/>
          <w:szCs w:val="32"/>
        </w:rPr>
        <w:t xml:space="preserve">CNL-518 Topic 8: Bereavement </w:t>
      </w:r>
      <w:proofErr w:type="gramStart"/>
      <w:r>
        <w:rPr>
          <w:b/>
          <w:bCs/>
          <w:color w:val="000000"/>
          <w:sz w:val="32"/>
          <w:szCs w:val="32"/>
        </w:rPr>
        <w:t>Across</w:t>
      </w:r>
      <w:proofErr w:type="gramEnd"/>
      <w:r>
        <w:rPr>
          <w:b/>
          <w:bCs/>
          <w:color w:val="000000"/>
          <w:sz w:val="32"/>
          <w:szCs w:val="32"/>
        </w:rPr>
        <w:t xml:space="preserve"> the Life Span</w:t>
      </w:r>
    </w:p>
    <w:p w:rsidR="004C02C9" w:rsidRDefault="006C0905">
      <w:pPr>
        <w:pBdr>
          <w:top w:val="nil"/>
          <w:left w:val="nil"/>
          <w:bottom w:val="nil"/>
          <w:right w:val="nil"/>
          <w:between w:val="nil"/>
        </w:pBdr>
        <w:spacing w:before="100" w:after="100"/>
        <w:rPr>
          <w:color w:val="000000"/>
        </w:rPr>
      </w:pPr>
      <w:r>
        <w:rPr>
          <w:b/>
          <w:bCs/>
          <w:color w:val="000000"/>
        </w:rPr>
        <w:t xml:space="preserve">Directions: </w:t>
      </w:r>
      <w:r>
        <w:rPr>
          <w:color w:val="000000"/>
        </w:rPr>
        <w:t xml:space="preserve">One's understanding of death and the bereavement process changes over the life span. Using the matrix provided below, summarize how individuals understand the various stages of life, death, and how each might grieve the loss of a loved one. Create a short </w:t>
      </w:r>
      <w:r>
        <w:rPr>
          <w:color w:val="000000"/>
        </w:rPr>
        <w:t>vignette for each age group that expresses your understanding of the age group's response to death and bereavement. Finally, hypothesize how a clinical mental health or school counselor might counsel each age group through the bereavement process. The firs</w:t>
      </w:r>
      <w:r>
        <w:rPr>
          <w:color w:val="000000"/>
        </w:rPr>
        <w:t xml:space="preserve">t stage has been completed for you as an example. Include in-text citations in the chart and references at the bottom of the worksheet as appropriate. Do not exceed 50 words per box. </w:t>
      </w:r>
    </w:p>
    <w:p w:rsidR="004C02C9" w:rsidRDefault="004C02C9">
      <w:pPr>
        <w:pBdr>
          <w:top w:val="nil"/>
          <w:left w:val="nil"/>
          <w:bottom w:val="nil"/>
          <w:right w:val="nil"/>
          <w:between w:val="nil"/>
        </w:pBdr>
        <w:spacing w:before="100" w:after="100"/>
        <w:rPr>
          <w:color w:val="000000"/>
        </w:rPr>
      </w:pPr>
    </w:p>
    <w:tbl>
      <w:tblPr>
        <w:tblStyle w:val="a"/>
        <w:tblW w:w="971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1255"/>
        <w:gridCol w:w="3161"/>
        <w:gridCol w:w="1719"/>
        <w:gridCol w:w="1614"/>
        <w:gridCol w:w="1966"/>
      </w:tblGrid>
      <w:tr w:rsidR="004C02C9">
        <w:trPr>
          <w:trHeight w:val="2061"/>
          <w:tblHeader/>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B8CCE4"/>
            <w:tcMar>
              <w:top w:w="80" w:type="dxa"/>
              <w:left w:w="80" w:type="dxa"/>
              <w:bottom w:w="80" w:type="dxa"/>
              <w:right w:w="80" w:type="dxa"/>
            </w:tcMar>
          </w:tcPr>
          <w:p w:rsidR="004C02C9" w:rsidRDefault="006C0905">
            <w:pPr>
              <w:pBdr>
                <w:top w:val="nil"/>
                <w:left w:val="nil"/>
                <w:bottom w:val="nil"/>
                <w:right w:val="nil"/>
                <w:between w:val="nil"/>
              </w:pBdr>
              <w:spacing w:line="276" w:lineRule="auto"/>
              <w:jc w:val="center"/>
              <w:rPr>
                <w:color w:val="000000"/>
              </w:rPr>
            </w:pPr>
            <w:r>
              <w:rPr>
                <w:b/>
                <w:bCs/>
                <w:color w:val="000000"/>
              </w:rPr>
              <w:t xml:space="preserve">Age Group </w:t>
            </w:r>
          </w:p>
        </w:tc>
        <w:tc>
          <w:tcPr>
            <w:tcW w:w="3161" w:type="dxa"/>
            <w:tcBorders>
              <w:top w:val="single" w:sz="4" w:space="0" w:color="000000"/>
              <w:left w:val="single" w:sz="4" w:space="0" w:color="000000"/>
              <w:bottom w:val="single" w:sz="4" w:space="0" w:color="000000"/>
              <w:right w:val="single" w:sz="4" w:space="0" w:color="000000"/>
            </w:tcBorders>
            <w:shd w:val="clear" w:color="auto" w:fill="B8CCE4"/>
            <w:tcMar>
              <w:top w:w="80" w:type="dxa"/>
              <w:left w:w="80" w:type="dxa"/>
              <w:bottom w:w="80" w:type="dxa"/>
              <w:right w:w="80" w:type="dxa"/>
            </w:tcMar>
          </w:tcPr>
          <w:p w:rsidR="004C02C9" w:rsidRDefault="006C0905">
            <w:pPr>
              <w:jc w:val="center"/>
            </w:pPr>
            <w:r>
              <w:rPr>
                <w:b/>
                <w:bCs/>
              </w:rPr>
              <w:t>Perception/Cognition of Grief</w:t>
            </w:r>
          </w:p>
        </w:tc>
        <w:tc>
          <w:tcPr>
            <w:tcW w:w="1719" w:type="dxa"/>
            <w:tcBorders>
              <w:top w:val="single" w:sz="4" w:space="0" w:color="000000"/>
              <w:left w:val="single" w:sz="4" w:space="0" w:color="000000"/>
              <w:bottom w:val="single" w:sz="4" w:space="0" w:color="000000"/>
              <w:right w:val="single" w:sz="4" w:space="0" w:color="000000"/>
            </w:tcBorders>
            <w:shd w:val="clear" w:color="auto" w:fill="B8CCE4"/>
            <w:tcMar>
              <w:top w:w="80" w:type="dxa"/>
              <w:left w:w="80" w:type="dxa"/>
              <w:bottom w:w="80" w:type="dxa"/>
              <w:right w:w="80" w:type="dxa"/>
            </w:tcMar>
          </w:tcPr>
          <w:p w:rsidR="004C02C9" w:rsidRDefault="006C0905">
            <w:pPr>
              <w:pBdr>
                <w:top w:val="nil"/>
                <w:left w:val="nil"/>
                <w:bottom w:val="nil"/>
                <w:right w:val="nil"/>
                <w:between w:val="nil"/>
              </w:pBdr>
              <w:jc w:val="center"/>
              <w:rPr>
                <w:color w:val="000000"/>
              </w:rPr>
            </w:pPr>
            <w:r>
              <w:rPr>
                <w:b/>
                <w:bCs/>
                <w:color w:val="000000"/>
              </w:rPr>
              <w:t>Response to Grief</w:t>
            </w:r>
          </w:p>
        </w:tc>
        <w:tc>
          <w:tcPr>
            <w:tcW w:w="1614" w:type="dxa"/>
            <w:tcBorders>
              <w:top w:val="single" w:sz="4" w:space="0" w:color="000000"/>
              <w:left w:val="single" w:sz="4" w:space="0" w:color="000000"/>
              <w:bottom w:val="single" w:sz="4" w:space="0" w:color="000000"/>
              <w:right w:val="single" w:sz="4" w:space="0" w:color="000000"/>
            </w:tcBorders>
            <w:shd w:val="clear" w:color="auto" w:fill="B8CCE4"/>
            <w:tcMar>
              <w:top w:w="80" w:type="dxa"/>
              <w:left w:w="80" w:type="dxa"/>
              <w:bottom w:w="80" w:type="dxa"/>
              <w:right w:w="80" w:type="dxa"/>
            </w:tcMar>
          </w:tcPr>
          <w:p w:rsidR="004C02C9" w:rsidRDefault="006C0905">
            <w:pPr>
              <w:pBdr>
                <w:top w:val="nil"/>
                <w:left w:val="nil"/>
                <w:bottom w:val="nil"/>
                <w:right w:val="nil"/>
                <w:between w:val="nil"/>
              </w:pBdr>
              <w:jc w:val="center"/>
              <w:rPr>
                <w:b/>
                <w:bCs/>
                <w:color w:val="000000"/>
              </w:rPr>
            </w:pPr>
            <w:r>
              <w:rPr>
                <w:b/>
                <w:bCs/>
                <w:color w:val="000000"/>
              </w:rPr>
              <w:t>Vignette</w:t>
            </w:r>
          </w:p>
          <w:p w:rsidR="004C02C9" w:rsidRDefault="006C0905">
            <w:pPr>
              <w:pBdr>
                <w:top w:val="nil"/>
                <w:left w:val="nil"/>
                <w:bottom w:val="nil"/>
                <w:right w:val="nil"/>
                <w:between w:val="nil"/>
              </w:pBdr>
              <w:jc w:val="center"/>
              <w:rPr>
                <w:color w:val="000000"/>
              </w:rPr>
            </w:pPr>
            <w:r>
              <w:rPr>
                <w:b/>
                <w:bCs/>
                <w:color w:val="000000"/>
              </w:rPr>
              <w:t>(short example/story of a child’s loss scenario)</w:t>
            </w:r>
          </w:p>
        </w:tc>
        <w:tc>
          <w:tcPr>
            <w:tcW w:w="1966" w:type="dxa"/>
            <w:tcBorders>
              <w:top w:val="single" w:sz="4" w:space="0" w:color="000000"/>
              <w:left w:val="single" w:sz="4" w:space="0" w:color="000000"/>
              <w:bottom w:val="single" w:sz="4" w:space="0" w:color="000000"/>
              <w:right w:val="single" w:sz="4" w:space="0" w:color="000000"/>
            </w:tcBorders>
            <w:shd w:val="clear" w:color="auto" w:fill="B8CCE4"/>
            <w:tcMar>
              <w:top w:w="80" w:type="dxa"/>
              <w:left w:w="80" w:type="dxa"/>
              <w:bottom w:w="80" w:type="dxa"/>
              <w:right w:w="80" w:type="dxa"/>
            </w:tcMar>
          </w:tcPr>
          <w:p w:rsidR="004C02C9" w:rsidRDefault="006C0905">
            <w:pPr>
              <w:pBdr>
                <w:top w:val="nil"/>
                <w:left w:val="nil"/>
                <w:bottom w:val="nil"/>
                <w:right w:val="nil"/>
                <w:between w:val="nil"/>
              </w:pBdr>
              <w:jc w:val="center"/>
              <w:rPr>
                <w:color w:val="000000"/>
              </w:rPr>
            </w:pPr>
            <w:r>
              <w:rPr>
                <w:b/>
                <w:bCs/>
                <w:color w:val="000000"/>
              </w:rPr>
              <w:t>Developmentally Appropriate Counseling Interventions (including empirically- sound  interventions for this age group)</w:t>
            </w:r>
          </w:p>
        </w:tc>
      </w:tr>
      <w:tr w:rsidR="004C02C9">
        <w:trPr>
          <w:trHeight w:val="1917"/>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4C02C9" w:rsidRDefault="006C0905">
            <w:pPr>
              <w:pBdr>
                <w:top w:val="nil"/>
                <w:left w:val="nil"/>
                <w:bottom w:val="nil"/>
                <w:right w:val="nil"/>
                <w:between w:val="nil"/>
              </w:pBdr>
              <w:rPr>
                <w:b/>
                <w:bCs/>
                <w:color w:val="000000"/>
              </w:rPr>
            </w:pPr>
            <w:r>
              <w:rPr>
                <w:b/>
                <w:bCs/>
                <w:color w:val="000000"/>
              </w:rPr>
              <w:t>Baby and Toddler</w:t>
            </w:r>
          </w:p>
        </w:tc>
        <w:tc>
          <w:tcPr>
            <w:tcW w:w="3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Does not understand the permanency of grief.</w:t>
            </w:r>
          </w:p>
        </w:tc>
        <w:tc>
          <w:tcPr>
            <w:tcW w:w="17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pPr>
              <w:pBdr>
                <w:top w:val="nil"/>
                <w:left w:val="nil"/>
                <w:bottom w:val="nil"/>
                <w:right w:val="nil"/>
                <w:between w:val="nil"/>
              </w:pBdr>
              <w:rPr>
                <w:color w:val="000000"/>
              </w:rPr>
            </w:pPr>
            <w:r>
              <w:rPr>
                <w:color w:val="000000"/>
              </w:rPr>
              <w:t>Excessive crying and yearning to be held.</w:t>
            </w:r>
          </w:p>
          <w:p w:rsidR="004C02C9" w:rsidRDefault="004C02C9">
            <w:pPr>
              <w:pBdr>
                <w:top w:val="nil"/>
                <w:left w:val="nil"/>
                <w:bottom w:val="nil"/>
                <w:right w:val="nil"/>
                <w:between w:val="nil"/>
              </w:pBdr>
              <w:rPr>
                <w:color w:val="000000"/>
              </w:rPr>
            </w:pPr>
          </w:p>
          <w:p w:rsidR="004C02C9" w:rsidRDefault="004C02C9">
            <w:pPr>
              <w:pBdr>
                <w:top w:val="nil"/>
                <w:left w:val="nil"/>
                <w:bottom w:val="nil"/>
                <w:right w:val="nil"/>
                <w:between w:val="nil"/>
              </w:pBdr>
              <w:rPr>
                <w:color w:val="000000"/>
              </w:rPr>
            </w:pPr>
          </w:p>
          <w:p w:rsidR="004C02C9" w:rsidRDefault="004C02C9">
            <w:pPr>
              <w:pBdr>
                <w:top w:val="nil"/>
                <w:left w:val="nil"/>
                <w:bottom w:val="nil"/>
                <w:right w:val="nil"/>
                <w:between w:val="nil"/>
              </w:pBdr>
              <w:rPr>
                <w:color w:val="000000"/>
              </w:rPr>
            </w:pPr>
          </w:p>
          <w:p w:rsidR="004C02C9" w:rsidRDefault="004C02C9">
            <w:pPr>
              <w:pBdr>
                <w:top w:val="nil"/>
                <w:left w:val="nil"/>
                <w:bottom w:val="nil"/>
                <w:right w:val="nil"/>
                <w:between w:val="nil"/>
              </w:pBdr>
              <w:rPr>
                <w:color w:val="000000"/>
              </w:rPr>
            </w:pPr>
          </w:p>
        </w:tc>
        <w:tc>
          <w:tcPr>
            <w:tcW w:w="16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pPr>
              <w:pBdr>
                <w:top w:val="nil"/>
                <w:left w:val="nil"/>
                <w:bottom w:val="nil"/>
                <w:right w:val="nil"/>
                <w:between w:val="nil"/>
              </w:pBdr>
              <w:rPr>
                <w:color w:val="000000"/>
              </w:rPr>
            </w:pPr>
            <w:r>
              <w:rPr>
                <w:color w:val="000000"/>
              </w:rPr>
              <w:t>A baby’s birth mother died during delivery.</w:t>
            </w:r>
          </w:p>
        </w:tc>
        <w:tc>
          <w:tcPr>
            <w:tcW w:w="19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pPr>
              <w:pBdr>
                <w:top w:val="nil"/>
                <w:left w:val="nil"/>
                <w:bottom w:val="nil"/>
                <w:right w:val="nil"/>
                <w:between w:val="nil"/>
              </w:pBdr>
              <w:rPr>
                <w:color w:val="000000"/>
              </w:rPr>
            </w:pPr>
            <w:r>
              <w:rPr>
                <w:color w:val="000000"/>
              </w:rPr>
              <w:t xml:space="preserve">Counsel the guardians of the baby to be sure to tend to the baby’s need for touch and comfort. </w:t>
            </w:r>
          </w:p>
        </w:tc>
      </w:tr>
      <w:tr w:rsidR="004C02C9">
        <w:trPr>
          <w:trHeight w:val="1485"/>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4C02C9" w:rsidRDefault="006C0905">
            <w:pPr>
              <w:pBdr>
                <w:top w:val="nil"/>
                <w:left w:val="nil"/>
                <w:bottom w:val="nil"/>
                <w:right w:val="nil"/>
                <w:between w:val="nil"/>
              </w:pBdr>
              <w:rPr>
                <w:b/>
                <w:bCs/>
                <w:color w:val="000000"/>
              </w:rPr>
            </w:pPr>
            <w:r>
              <w:rPr>
                <w:b/>
                <w:bCs/>
                <w:color w:val="000000"/>
              </w:rPr>
              <w:t>Preschool Age</w:t>
            </w:r>
          </w:p>
        </w:tc>
        <w:tc>
          <w:tcPr>
            <w:tcW w:w="3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Children under the age of seven have difficulty understanding the concept of death (</w:t>
            </w:r>
            <w:proofErr w:type="spellStart"/>
            <w:r>
              <w:t>Kail</w:t>
            </w:r>
            <w:proofErr w:type="spellEnd"/>
            <w:r>
              <w:t xml:space="preserve"> &amp; Cavanaugh, 2019). Children at the age of three do not understand what grief is or what emotions are. </w:t>
            </w:r>
          </w:p>
        </w:tc>
        <w:tc>
          <w:tcPr>
            <w:tcW w:w="17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Crying when parents drop him off at school. Searches for his gr</w:t>
            </w:r>
            <w:r>
              <w:t xml:space="preserve">andfather in his room at the house. </w:t>
            </w:r>
          </w:p>
        </w:tc>
        <w:tc>
          <w:tcPr>
            <w:tcW w:w="16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 xml:space="preserve">A year old male lost his paternal grandfather to lung disease. His grandfather lived in his home during the last two years of his life. </w:t>
            </w:r>
          </w:p>
        </w:tc>
        <w:tc>
          <w:tcPr>
            <w:tcW w:w="19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 xml:space="preserve">A counselor should provide the parents with resources on age appropriate explanation of what death is. Providing comfort and explanation to where his grandfather is can help the young child to </w:t>
            </w:r>
            <w:r>
              <w:lastRenderedPageBreak/>
              <w:t xml:space="preserve">understand his grandfather will not be in his room anymore. </w:t>
            </w:r>
          </w:p>
        </w:tc>
      </w:tr>
      <w:tr w:rsidR="004C02C9">
        <w:trPr>
          <w:trHeight w:val="675"/>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4C02C9" w:rsidRDefault="006C0905">
            <w:pPr>
              <w:pBdr>
                <w:top w:val="nil"/>
                <w:left w:val="nil"/>
                <w:bottom w:val="nil"/>
                <w:right w:val="nil"/>
                <w:between w:val="nil"/>
              </w:pBdr>
              <w:rPr>
                <w:b/>
                <w:bCs/>
                <w:color w:val="000000"/>
              </w:rPr>
            </w:pPr>
            <w:r>
              <w:rPr>
                <w:b/>
                <w:bCs/>
                <w:color w:val="000000"/>
              </w:rPr>
              <w:lastRenderedPageBreak/>
              <w:t>Grade School Age</w:t>
            </w:r>
          </w:p>
        </w:tc>
        <w:tc>
          <w:tcPr>
            <w:tcW w:w="3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At the age of 8 years old, she understands the concept of death and its permanence (</w:t>
            </w:r>
            <w:proofErr w:type="spellStart"/>
            <w:r>
              <w:t>Kail</w:t>
            </w:r>
            <w:proofErr w:type="spellEnd"/>
            <w:r>
              <w:t xml:space="preserve"> &amp; Cavanaugh, 2019). Yet, children do not have a full grasp upon what grief is. The emotions they experience after their loved one passed may be novel </w:t>
            </w:r>
            <w:r>
              <w:t xml:space="preserve">and confusing to process.  Each child will react to a death of a loved one differently.  </w:t>
            </w:r>
          </w:p>
        </w:tc>
        <w:tc>
          <w:tcPr>
            <w:tcW w:w="17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pPr>
              <w:pBdr>
                <w:top w:val="nil"/>
                <w:left w:val="nil"/>
                <w:bottom w:val="nil"/>
                <w:right w:val="nil"/>
                <w:between w:val="nil"/>
              </w:pBdr>
              <w:rPr>
                <w:color w:val="000000"/>
              </w:rPr>
            </w:pPr>
            <w:r>
              <w:rPr>
                <w:color w:val="000000"/>
              </w:rPr>
              <w:t>She is displaying anger at school with her peers during recess. She tends to have outburst/tantrums at home. Expresses that she does not want to talk about her feelin</w:t>
            </w:r>
            <w:r>
              <w:rPr>
                <w:color w:val="000000"/>
              </w:rPr>
              <w:t xml:space="preserve">gs to her family/parents. She is doing well in school and listens to her teacher’s instructions.  </w:t>
            </w:r>
          </w:p>
          <w:p w:rsidR="004C02C9" w:rsidRDefault="004C02C9">
            <w:pPr>
              <w:pBdr>
                <w:top w:val="nil"/>
                <w:left w:val="nil"/>
                <w:bottom w:val="nil"/>
                <w:right w:val="nil"/>
                <w:between w:val="nil"/>
              </w:pBdr>
              <w:rPr>
                <w:color w:val="000000"/>
              </w:rPr>
            </w:pPr>
          </w:p>
          <w:p w:rsidR="004C02C9" w:rsidRDefault="004C02C9">
            <w:pPr>
              <w:pBdr>
                <w:top w:val="nil"/>
                <w:left w:val="nil"/>
                <w:bottom w:val="nil"/>
                <w:right w:val="nil"/>
                <w:between w:val="nil"/>
              </w:pBdr>
              <w:rPr>
                <w:color w:val="000000"/>
              </w:rPr>
            </w:pPr>
          </w:p>
          <w:p w:rsidR="004C02C9" w:rsidRDefault="004C02C9">
            <w:pPr>
              <w:pBdr>
                <w:top w:val="nil"/>
                <w:left w:val="nil"/>
                <w:bottom w:val="nil"/>
                <w:right w:val="nil"/>
                <w:between w:val="nil"/>
              </w:pBdr>
              <w:rPr>
                <w:color w:val="000000"/>
              </w:rPr>
            </w:pPr>
          </w:p>
          <w:p w:rsidR="004C02C9" w:rsidRDefault="004C02C9">
            <w:pPr>
              <w:pBdr>
                <w:top w:val="nil"/>
                <w:left w:val="nil"/>
                <w:bottom w:val="nil"/>
                <w:right w:val="nil"/>
                <w:between w:val="nil"/>
              </w:pBdr>
              <w:rPr>
                <w:color w:val="000000"/>
              </w:rPr>
            </w:pPr>
          </w:p>
          <w:p w:rsidR="004C02C9" w:rsidRDefault="004C02C9">
            <w:pPr>
              <w:pBdr>
                <w:top w:val="nil"/>
                <w:left w:val="nil"/>
                <w:bottom w:val="nil"/>
                <w:right w:val="nil"/>
                <w:between w:val="nil"/>
              </w:pBdr>
              <w:rPr>
                <w:color w:val="000000"/>
              </w:rPr>
            </w:pPr>
          </w:p>
          <w:p w:rsidR="004C02C9" w:rsidRDefault="004C02C9">
            <w:pPr>
              <w:pBdr>
                <w:top w:val="nil"/>
                <w:left w:val="nil"/>
                <w:bottom w:val="nil"/>
                <w:right w:val="nil"/>
                <w:between w:val="nil"/>
              </w:pBdr>
              <w:rPr>
                <w:color w:val="000000"/>
              </w:rPr>
            </w:pPr>
          </w:p>
          <w:p w:rsidR="004C02C9" w:rsidRDefault="004C02C9">
            <w:pPr>
              <w:pBdr>
                <w:top w:val="nil"/>
                <w:left w:val="nil"/>
                <w:bottom w:val="nil"/>
                <w:right w:val="nil"/>
                <w:between w:val="nil"/>
              </w:pBdr>
              <w:rPr>
                <w:color w:val="000000"/>
              </w:rPr>
            </w:pPr>
          </w:p>
          <w:p w:rsidR="004C02C9" w:rsidRDefault="004C02C9">
            <w:pPr>
              <w:pBdr>
                <w:top w:val="nil"/>
                <w:left w:val="nil"/>
                <w:bottom w:val="nil"/>
                <w:right w:val="nil"/>
                <w:between w:val="nil"/>
              </w:pBdr>
              <w:rPr>
                <w:color w:val="000000"/>
              </w:rPr>
            </w:pPr>
          </w:p>
        </w:tc>
        <w:tc>
          <w:tcPr>
            <w:tcW w:w="16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 xml:space="preserve">An 8 year old female lost her sister to cancer. Her little sister was four years old when she passed away. </w:t>
            </w:r>
          </w:p>
        </w:tc>
        <w:tc>
          <w:tcPr>
            <w:tcW w:w="19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Cognitive behavioral therapy would help a child with the emotional outburst while processing the loss of a love one. Gaining self-awareness and coping skills is beneficial for children in this stage of development. Identifying feelings and creating tools t</w:t>
            </w:r>
            <w:r>
              <w:t xml:space="preserve">o cope with them is vital. Counseling the parent and providing them with resources and coping skills is vital to ensure the child has support from their caregiver during this difficult time. </w:t>
            </w:r>
          </w:p>
        </w:tc>
      </w:tr>
      <w:tr w:rsidR="004C02C9">
        <w:trPr>
          <w:trHeight w:val="3240"/>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4C02C9" w:rsidRDefault="006C0905">
            <w:pPr>
              <w:pBdr>
                <w:top w:val="nil"/>
                <w:left w:val="nil"/>
                <w:bottom w:val="nil"/>
                <w:right w:val="nil"/>
                <w:between w:val="nil"/>
              </w:pBdr>
              <w:rPr>
                <w:b/>
                <w:bCs/>
                <w:color w:val="000000"/>
              </w:rPr>
            </w:pPr>
            <w:r>
              <w:rPr>
                <w:b/>
                <w:bCs/>
                <w:color w:val="000000"/>
              </w:rPr>
              <w:lastRenderedPageBreak/>
              <w:t>Adolescence/Teenage Years</w:t>
            </w:r>
          </w:p>
        </w:tc>
        <w:tc>
          <w:tcPr>
            <w:tcW w:w="3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 xml:space="preserve">Adolescents/teenagers understand the </w:t>
            </w:r>
            <w:r>
              <w:t>concept of death. Individuals in this age group may not understand the effect the death of a loved one may have on their life or future (</w:t>
            </w:r>
            <w:proofErr w:type="spellStart"/>
            <w:r>
              <w:t>Kail</w:t>
            </w:r>
            <w:proofErr w:type="spellEnd"/>
            <w:r>
              <w:t xml:space="preserve"> &amp; Cavanaugh, 2019). Grief may be a new emotion they have yet to process or experience.</w:t>
            </w:r>
          </w:p>
        </w:tc>
        <w:tc>
          <w:tcPr>
            <w:tcW w:w="17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The 14 year old expresses d</w:t>
            </w:r>
            <w:r>
              <w:t xml:space="preserve">ifficulty with sadness and anxiety. He also states he is experiencing a difficult time sleeping. He tends to spend more time at home than with his friends or engaging in extra circular activities. </w:t>
            </w:r>
          </w:p>
        </w:tc>
        <w:tc>
          <w:tcPr>
            <w:tcW w:w="16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 xml:space="preserve">A 14 year old male lost his father to a heart attack. His father was a healthy individual and passed away at the age of 35 years old. </w:t>
            </w:r>
          </w:p>
        </w:tc>
        <w:tc>
          <w:tcPr>
            <w:tcW w:w="19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Adolescents tend to have difficulty processing the death of a parent (</w:t>
            </w:r>
            <w:proofErr w:type="spellStart"/>
            <w:r>
              <w:t>Kail</w:t>
            </w:r>
            <w:proofErr w:type="spellEnd"/>
            <w:r>
              <w:t xml:space="preserve"> &amp; Cavanaugh, 2019). Utilizing four-component m</w:t>
            </w:r>
            <w:r>
              <w:t xml:space="preserve">odel can be beneficial for this age group as it deconstructs the grief and the sudden loss of their parent. The counselor can provide coping strategies to manage their symptoms and come to terms with the loss. </w:t>
            </w:r>
          </w:p>
        </w:tc>
      </w:tr>
      <w:tr w:rsidR="004C02C9">
        <w:trPr>
          <w:trHeight w:val="2760"/>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4C02C9" w:rsidRDefault="006C0905">
            <w:pPr>
              <w:pBdr>
                <w:top w:val="nil"/>
                <w:left w:val="nil"/>
                <w:bottom w:val="nil"/>
                <w:right w:val="nil"/>
                <w:between w:val="nil"/>
              </w:pBdr>
              <w:rPr>
                <w:b/>
                <w:bCs/>
                <w:color w:val="000000"/>
              </w:rPr>
            </w:pPr>
            <w:r>
              <w:rPr>
                <w:b/>
                <w:bCs/>
                <w:color w:val="000000"/>
              </w:rPr>
              <w:t>Adulthood</w:t>
            </w:r>
          </w:p>
        </w:tc>
        <w:tc>
          <w:tcPr>
            <w:tcW w:w="3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An individuals within early adulth</w:t>
            </w:r>
            <w:r>
              <w:t xml:space="preserve">ood tend to not fear death compared to individuals within late adulthood. This mother understand that death is permanent and can envision their future without their child. She understands that the pain she feels may be experienced into late adulthood. </w:t>
            </w:r>
          </w:p>
        </w:tc>
        <w:tc>
          <w:tcPr>
            <w:tcW w:w="17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She</w:t>
            </w:r>
            <w:r>
              <w:t xml:space="preserve"> experiences the agony of the loss for the future they once dreamed of with their child (Institute of Medicine, &amp; Committee for the Study of Health Consequences of the Stress of </w:t>
            </w:r>
          </w:p>
          <w:p w:rsidR="004C02C9" w:rsidRDefault="006C0905">
            <w:r>
              <w:lastRenderedPageBreak/>
              <w:t>Bereavement, 1984). She doesn’t want to eat and is experiencing difficulty wi</w:t>
            </w:r>
            <w:r>
              <w:t xml:space="preserve">th sleeping at night. Does not want to spend time with friends or get out of bed the majority of the day. </w:t>
            </w:r>
          </w:p>
        </w:tc>
        <w:tc>
          <w:tcPr>
            <w:tcW w:w="16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lastRenderedPageBreak/>
              <w:t xml:space="preserve">A 22-year old married mother loses her child at the age of four to an unknown illness. </w:t>
            </w:r>
          </w:p>
        </w:tc>
        <w:tc>
          <w:tcPr>
            <w:tcW w:w="19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A dual process model for treating grief would be beneficial a</w:t>
            </w:r>
            <w:r>
              <w:t>s the counselor assist the client through their process of grief while highlighting the purpose in their future (</w:t>
            </w:r>
            <w:proofErr w:type="spellStart"/>
            <w:r>
              <w:t>Kail</w:t>
            </w:r>
            <w:proofErr w:type="spellEnd"/>
            <w:r>
              <w:t xml:space="preserve"> &amp; Cavanaugh, 2019). A grieving mother may </w:t>
            </w:r>
            <w:r>
              <w:lastRenderedPageBreak/>
              <w:t>struggle with the ability see hope in the future after losing a child. The dual process will hel</w:t>
            </w:r>
            <w:r>
              <w:t xml:space="preserve">p her cope with the unbearable pain. </w:t>
            </w:r>
          </w:p>
        </w:tc>
      </w:tr>
      <w:tr w:rsidR="004C02C9">
        <w:trPr>
          <w:trHeight w:val="1215"/>
          <w:jc w:val="center"/>
        </w:trPr>
        <w:tc>
          <w:tcPr>
            <w:tcW w:w="125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4C02C9" w:rsidRDefault="006C0905">
            <w:pPr>
              <w:pBdr>
                <w:top w:val="nil"/>
                <w:left w:val="nil"/>
                <w:bottom w:val="nil"/>
                <w:right w:val="nil"/>
                <w:between w:val="nil"/>
              </w:pBdr>
              <w:rPr>
                <w:b/>
                <w:bCs/>
                <w:color w:val="000000"/>
              </w:rPr>
            </w:pPr>
            <w:r>
              <w:rPr>
                <w:b/>
                <w:bCs/>
                <w:color w:val="000000"/>
              </w:rPr>
              <w:lastRenderedPageBreak/>
              <w:t>Late Adulthood</w:t>
            </w:r>
          </w:p>
        </w:tc>
        <w:tc>
          <w:tcPr>
            <w:tcW w:w="31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Individuals in late adulthood may experience anxiety surrounding the idea of death. While others may have peace with the fact that death is inevitable at this stage in their life. If the individual has healthy cognition, they understand that their loved on</w:t>
            </w:r>
            <w:r>
              <w:t>e has passed, and they will not be able to see them on earth anymore.</w:t>
            </w:r>
          </w:p>
        </w:tc>
        <w:tc>
          <w:tcPr>
            <w:tcW w:w="17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 xml:space="preserve"> He is experiencing loneliness and grief that his wife has passed. He reflects on all the years they spent together. He expresses gratitude that he could spend his life with her by his s</w:t>
            </w:r>
            <w:r>
              <w:t>ide.  He is experiencing a difficult time sleeping without his wife being home with him.</w:t>
            </w:r>
          </w:p>
        </w:tc>
        <w:tc>
          <w:tcPr>
            <w:tcW w:w="16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 xml:space="preserve">A 72-year old man lost his wife of 30 years to dementia. His wife was 70-years old and battled dementia for three years before her death. </w:t>
            </w:r>
          </w:p>
        </w:tc>
        <w:tc>
          <w:tcPr>
            <w:tcW w:w="19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C02C9" w:rsidRDefault="006C0905">
            <w:r>
              <w:t>Counseling the individual to</w:t>
            </w:r>
            <w:r>
              <w:t xml:space="preserve"> find purpose and meaning after their spouse passed in late adulthood is vital (</w:t>
            </w:r>
            <w:proofErr w:type="spellStart"/>
            <w:r>
              <w:t>Blueford</w:t>
            </w:r>
            <w:proofErr w:type="spellEnd"/>
            <w:r>
              <w:t xml:space="preserve"> &amp; Adams, 2021). Utilizing the dual process model for grief counseling will emphasize the necessity of meaning and purpose. </w:t>
            </w:r>
          </w:p>
        </w:tc>
      </w:tr>
    </w:tbl>
    <w:p w:rsidR="004C02C9" w:rsidRDefault="004C02C9">
      <w:pPr>
        <w:pBdr>
          <w:top w:val="nil"/>
          <w:left w:val="nil"/>
          <w:bottom w:val="nil"/>
          <w:right w:val="nil"/>
          <w:between w:val="nil"/>
        </w:pBdr>
        <w:spacing w:line="276" w:lineRule="auto"/>
        <w:jc w:val="center"/>
        <w:rPr>
          <w:color w:val="000000"/>
        </w:rPr>
      </w:pPr>
    </w:p>
    <w:p w:rsidR="004C02C9" w:rsidRDefault="006C0905">
      <w:pPr>
        <w:pBdr>
          <w:top w:val="nil"/>
          <w:left w:val="nil"/>
          <w:bottom w:val="nil"/>
          <w:right w:val="nil"/>
          <w:between w:val="nil"/>
        </w:pBdr>
        <w:spacing w:line="276" w:lineRule="auto"/>
        <w:jc w:val="center"/>
        <w:rPr>
          <w:color w:val="000000"/>
        </w:rPr>
      </w:pPr>
      <w:r>
        <w:rPr>
          <w:color w:val="000000"/>
        </w:rPr>
        <w:lastRenderedPageBreak/>
        <w:t>References</w:t>
      </w:r>
    </w:p>
    <w:p w:rsidR="004C02C9" w:rsidRDefault="006C0905">
      <w:pPr>
        <w:pBdr>
          <w:top w:val="nil"/>
          <w:left w:val="nil"/>
          <w:bottom w:val="nil"/>
          <w:right w:val="nil"/>
          <w:between w:val="nil"/>
        </w:pBdr>
        <w:spacing w:line="480" w:lineRule="auto"/>
        <w:rPr>
          <w:color w:val="000000"/>
        </w:rPr>
      </w:pPr>
      <w:proofErr w:type="spellStart"/>
      <w:r>
        <w:rPr>
          <w:color w:val="000000"/>
        </w:rPr>
        <w:t>Blueford</w:t>
      </w:r>
      <w:proofErr w:type="spellEnd"/>
      <w:r>
        <w:rPr>
          <w:color w:val="000000"/>
        </w:rPr>
        <w:t xml:space="preserve">, J. M., &amp; Adams, C. R. (2021). Trauma‐Informed grief counseling with older BIPOC </w:t>
      </w:r>
    </w:p>
    <w:p w:rsidR="004C02C9" w:rsidRDefault="006C0905">
      <w:pPr>
        <w:pBdr>
          <w:top w:val="nil"/>
          <w:left w:val="nil"/>
          <w:bottom w:val="nil"/>
          <w:right w:val="nil"/>
          <w:between w:val="nil"/>
        </w:pBdr>
        <w:spacing w:line="480" w:lineRule="auto"/>
        <w:ind w:left="720"/>
        <w:rPr>
          <w:color w:val="000000"/>
        </w:rPr>
      </w:pPr>
      <w:proofErr w:type="gramStart"/>
      <w:r>
        <w:rPr>
          <w:color w:val="000000"/>
        </w:rPr>
        <w:t>individuals</w:t>
      </w:r>
      <w:proofErr w:type="gramEnd"/>
      <w:r>
        <w:rPr>
          <w:color w:val="000000"/>
        </w:rPr>
        <w:t xml:space="preserve">. </w:t>
      </w:r>
      <w:proofErr w:type="spellStart"/>
      <w:r>
        <w:rPr>
          <w:i/>
          <w:iCs/>
          <w:color w:val="000000"/>
        </w:rPr>
        <w:t>Adultspan</w:t>
      </w:r>
      <w:proofErr w:type="spellEnd"/>
      <w:r>
        <w:rPr>
          <w:i/>
          <w:iCs/>
          <w:color w:val="000000"/>
        </w:rPr>
        <w:t xml:space="preserve"> Journal</w:t>
      </w:r>
      <w:r>
        <w:rPr>
          <w:color w:val="000000"/>
        </w:rPr>
        <w:t xml:space="preserve">, </w:t>
      </w:r>
      <w:r>
        <w:rPr>
          <w:i/>
          <w:iCs/>
          <w:color w:val="000000"/>
        </w:rPr>
        <w:t>20</w:t>
      </w:r>
      <w:r>
        <w:rPr>
          <w:color w:val="000000"/>
        </w:rPr>
        <w:t xml:space="preserve">(2), 111–124. </w:t>
      </w:r>
      <w:hyperlink r:id="rId7">
        <w:r>
          <w:rPr>
            <w:color w:val="1155CC"/>
            <w:u w:val="single"/>
          </w:rPr>
          <w:t>https://doi-org.lopes.idm.oclc.org/10.1002/adsp.12114</w:t>
        </w:r>
      </w:hyperlink>
    </w:p>
    <w:p w:rsidR="004C02C9" w:rsidRDefault="006C0905">
      <w:pPr>
        <w:pBdr>
          <w:top w:val="nil"/>
          <w:left w:val="nil"/>
          <w:bottom w:val="nil"/>
          <w:right w:val="nil"/>
          <w:between w:val="nil"/>
        </w:pBdr>
        <w:spacing w:line="480" w:lineRule="auto"/>
        <w:rPr>
          <w:color w:val="000000"/>
        </w:rPr>
      </w:pPr>
      <w:proofErr w:type="spellStart"/>
      <w:r>
        <w:rPr>
          <w:color w:val="000000"/>
        </w:rPr>
        <w:t>Kail</w:t>
      </w:r>
      <w:proofErr w:type="spellEnd"/>
      <w:r>
        <w:rPr>
          <w:color w:val="000000"/>
        </w:rPr>
        <w:t xml:space="preserve">, R. V., &amp; Cavanaugh, J. C. (2019). </w:t>
      </w:r>
      <w:r>
        <w:rPr>
          <w:i/>
          <w:iCs/>
          <w:color w:val="000000"/>
        </w:rPr>
        <w:t>Human development: A life-span view</w:t>
      </w:r>
      <w:r>
        <w:rPr>
          <w:color w:val="000000"/>
        </w:rPr>
        <w:t xml:space="preserve"> (8th </w:t>
      </w:r>
      <w:proofErr w:type="gramStart"/>
      <w:r>
        <w:rPr>
          <w:color w:val="000000"/>
        </w:rPr>
        <w:t>ed</w:t>
      </w:r>
      <w:proofErr w:type="gramEnd"/>
      <w:r>
        <w:rPr>
          <w:color w:val="000000"/>
        </w:rPr>
        <w:t>.).</w:t>
      </w:r>
      <w:r>
        <w:rPr>
          <w:color w:val="000000"/>
        </w:rPr>
        <w:tab/>
      </w:r>
    </w:p>
    <w:p w:rsidR="004C02C9" w:rsidRDefault="006C0905">
      <w:pPr>
        <w:pBdr>
          <w:top w:val="nil"/>
          <w:left w:val="nil"/>
          <w:bottom w:val="nil"/>
          <w:right w:val="nil"/>
          <w:between w:val="nil"/>
        </w:pBdr>
        <w:spacing w:line="480" w:lineRule="auto"/>
        <w:ind w:firstLine="720"/>
        <w:rPr>
          <w:color w:val="000000"/>
        </w:rPr>
      </w:pPr>
      <w:r>
        <w:rPr>
          <w:color w:val="000000"/>
        </w:rPr>
        <w:t>Cengage. ISBN-13: 9781337554831</w:t>
      </w:r>
    </w:p>
    <w:p w:rsidR="004C02C9" w:rsidRDefault="006C0905">
      <w:pPr>
        <w:pBdr>
          <w:top w:val="nil"/>
          <w:left w:val="nil"/>
          <w:bottom w:val="nil"/>
          <w:right w:val="nil"/>
          <w:between w:val="nil"/>
        </w:pBdr>
        <w:spacing w:line="480" w:lineRule="auto"/>
        <w:rPr>
          <w:color w:val="000000"/>
        </w:rPr>
      </w:pPr>
      <w:r>
        <w:rPr>
          <w:color w:val="000000"/>
        </w:rPr>
        <w:t>Institute of Medicine, &amp; Committee for the Study of Health Consequences of the Str</w:t>
      </w:r>
      <w:r>
        <w:rPr>
          <w:color w:val="000000"/>
        </w:rPr>
        <w:t xml:space="preserve">ess of </w:t>
      </w:r>
    </w:p>
    <w:p w:rsidR="004C02C9" w:rsidRDefault="006C0905">
      <w:pPr>
        <w:pBdr>
          <w:top w:val="nil"/>
          <w:left w:val="nil"/>
          <w:bottom w:val="nil"/>
          <w:right w:val="nil"/>
          <w:between w:val="nil"/>
        </w:pBdr>
        <w:spacing w:line="480" w:lineRule="auto"/>
        <w:ind w:left="720"/>
        <w:rPr>
          <w:color w:val="000000"/>
        </w:rPr>
      </w:pPr>
      <w:r>
        <w:rPr>
          <w:color w:val="000000"/>
        </w:rPr>
        <w:t xml:space="preserve">Bereavement. (1984). </w:t>
      </w:r>
      <w:r>
        <w:rPr>
          <w:i/>
          <w:iCs/>
          <w:color w:val="000000"/>
        </w:rPr>
        <w:t>Bereavement : Reactions, consequences, and care</w:t>
      </w:r>
      <w:r>
        <w:rPr>
          <w:color w:val="000000"/>
        </w:rPr>
        <w:t>. National Academies Press.</w:t>
      </w:r>
    </w:p>
    <w:sectPr w:rsidR="004C02C9">
      <w:footerReference w:type="default" r:id="rId8"/>
      <w:headerReference w:type="first" r:id="rId9"/>
      <w:footerReference w:type="first" r:id="rId10"/>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0905" w:rsidRDefault="006C0905">
      <w:r>
        <w:separator/>
      </w:r>
    </w:p>
  </w:endnote>
  <w:endnote w:type="continuationSeparator" w:id="0">
    <w:p w:rsidR="006C0905" w:rsidRDefault="006C09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1AE3952C-C157-4AB2-A72D-C7992A99EBB9}"/>
  </w:font>
  <w:font w:name="Arial Unicode MS">
    <w:panose1 w:val="020B0604020202020204"/>
    <w:charset w:val="00"/>
    <w:family w:val="roman"/>
    <w:pitch w:val="variable"/>
    <w:sig w:usb0="00000003" w:usb1="00000000" w:usb2="00000000" w:usb3="00000000" w:csb0="00000001" w:csb1="00000000"/>
    <w:embedRegular r:id="rId2" w:fontKey="{C1E651CF-CDBF-48AF-89DD-8B9AA881FCBC}"/>
  </w:font>
  <w:font w:name="Segoe UI">
    <w:panose1 w:val="020B0502040204020203"/>
    <w:charset w:val="00"/>
    <w:family w:val="roman"/>
    <w:notTrueType/>
    <w:pitch w:val="default"/>
    <w:embedRegular r:id="rId3" w:fontKey="{809CA452-A8B5-45C7-9779-4C0CEDAD44FF}"/>
  </w:font>
  <w:font w:name="Georgia">
    <w:panose1 w:val="02040502050405020303"/>
    <w:charset w:val="00"/>
    <w:family w:val="auto"/>
    <w:pitch w:val="default"/>
    <w:embedItalic r:id="rId4" w:fontKey="{B553754D-0939-4540-A381-BF0A058A3DF9}"/>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2C9" w:rsidRDefault="006C0905">
    <w:pPr>
      <w:pBdr>
        <w:top w:val="nil"/>
        <w:left w:val="nil"/>
        <w:bottom w:val="nil"/>
        <w:right w:val="nil"/>
        <w:between w:val="nil"/>
      </w:pBdr>
      <w:spacing w:line="276" w:lineRule="auto"/>
      <w:jc w:val="center"/>
      <w:rPr>
        <w:color w:val="000000"/>
      </w:rPr>
    </w:pPr>
    <w:r>
      <w:rPr>
        <w:color w:val="000000"/>
      </w:rPr>
      <w:t>© 2020. Grand Canyon University. All Rights Reserved.</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2C9" w:rsidRDefault="006C0905">
    <w:pPr>
      <w:pBdr>
        <w:top w:val="nil"/>
        <w:left w:val="nil"/>
        <w:bottom w:val="nil"/>
        <w:right w:val="nil"/>
        <w:between w:val="nil"/>
      </w:pBdr>
      <w:spacing w:line="276" w:lineRule="auto"/>
      <w:jc w:val="center"/>
      <w:rPr>
        <w:color w:val="000000"/>
      </w:rPr>
    </w:pPr>
    <w:r>
      <w:rPr>
        <w:color w:val="000000"/>
      </w:rPr>
      <w:t>© 2020. Grand Canyon University.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0905" w:rsidRDefault="006C0905">
      <w:r>
        <w:separator/>
      </w:r>
    </w:p>
  </w:footnote>
  <w:footnote w:type="continuationSeparator" w:id="0">
    <w:p w:rsidR="006C0905" w:rsidRDefault="006C09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2C9" w:rsidRDefault="006C0905">
    <w:pPr>
      <w:pBdr>
        <w:top w:val="nil"/>
        <w:left w:val="nil"/>
        <w:bottom w:val="nil"/>
        <w:right w:val="nil"/>
        <w:between w:val="nil"/>
      </w:pBdr>
      <w:tabs>
        <w:tab w:val="center" w:pos="4680"/>
        <w:tab w:val="right" w:pos="9360"/>
        <w:tab w:val="right" w:pos="9340"/>
      </w:tabs>
      <w:rPr>
        <w:color w:val="000000"/>
      </w:rPr>
    </w:pPr>
    <w:r>
      <w:rPr>
        <w:noProof/>
        <w:color w:val="000000"/>
        <w:lang w:val="en-US"/>
      </w:rPr>
      <w:drawing>
        <wp:inline distT="0" distB="0" distL="0" distR="0">
          <wp:extent cx="3067050" cy="688890"/>
          <wp:effectExtent l="0" t="0" r="0" b="0"/>
          <wp:docPr id="1073741826" name="image1.jpg" descr="cid:D7D4B297-EEAE-4174-AD01-F87097282051@canyon.com"/>
          <wp:cNvGraphicFramePr/>
          <a:graphic xmlns:a="http://schemas.openxmlformats.org/drawingml/2006/main">
            <a:graphicData uri="http://schemas.openxmlformats.org/drawingml/2006/picture">
              <pic:pic xmlns:pic="http://schemas.openxmlformats.org/drawingml/2006/picture">
                <pic:nvPicPr>
                  <pic:cNvPr id="0" name="image1.jpg" descr="cid:D7D4B297-EEAE-4174-AD01-F87097282051@canyon.com"/>
                  <pic:cNvPicPr preferRelativeResize="0"/>
                </pic:nvPicPr>
                <pic:blipFill>
                  <a:blip r:embed="rId1"/>
                  <a:srcRect/>
                  <a:stretch>
                    <a:fillRect/>
                  </a:stretch>
                </pic:blipFill>
                <pic:spPr>
                  <a:xfrm>
                    <a:off x="0" y="0"/>
                    <a:ext cx="3067050" cy="68889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2C9"/>
    <w:rsid w:val="002B715F"/>
    <w:rsid w:val="004C02C9"/>
    <w:rsid w:val="006C0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9D0037-9D62-45A5-9CF3-A116A711E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rPr>
  </w:style>
  <w:style w:type="paragraph" w:customStyle="1" w:styleId="Body">
    <w:name w:val="Body"/>
    <w:pPr>
      <w:spacing w:line="276" w:lineRule="auto"/>
    </w:pPr>
    <w:rPr>
      <w:rFonts w:cs="Arial Unicode MS"/>
      <w:color w:val="000000"/>
      <w:u w:color="000000"/>
      <w:lang w:val="de-DE"/>
    </w:rPr>
  </w:style>
  <w:style w:type="paragraph" w:styleId="Header">
    <w:name w:val="header"/>
    <w:pPr>
      <w:tabs>
        <w:tab w:val="center" w:pos="4680"/>
        <w:tab w:val="right" w:pos="9360"/>
      </w:tabs>
    </w:pPr>
    <w:rPr>
      <w:color w:val="000000"/>
      <w:u w:color="000000"/>
    </w:rPr>
  </w:style>
  <w:style w:type="character" w:customStyle="1" w:styleId="None2">
    <w:name w:val="None 2"/>
    <w:rPr>
      <w:lang w:val="en-US"/>
    </w:rPr>
  </w:style>
  <w:style w:type="character" w:styleId="CommentReference">
    <w:name w:val="annotation reference"/>
    <w:basedOn w:val="DefaultParagraphFont"/>
    <w:uiPriority w:val="99"/>
    <w:semiHidden/>
    <w:unhideWhenUsed/>
    <w:rsid w:val="00002C86"/>
    <w:rPr>
      <w:sz w:val="16"/>
      <w:szCs w:val="16"/>
    </w:rPr>
  </w:style>
  <w:style w:type="paragraph" w:styleId="CommentText">
    <w:name w:val="annotation text"/>
    <w:basedOn w:val="Normal"/>
    <w:link w:val="CommentTextChar"/>
    <w:uiPriority w:val="99"/>
    <w:semiHidden/>
    <w:unhideWhenUsed/>
    <w:rsid w:val="00002C86"/>
    <w:rPr>
      <w:sz w:val="20"/>
      <w:szCs w:val="20"/>
    </w:rPr>
  </w:style>
  <w:style w:type="character" w:customStyle="1" w:styleId="CommentTextChar">
    <w:name w:val="Comment Text Char"/>
    <w:basedOn w:val="DefaultParagraphFont"/>
    <w:link w:val="CommentText"/>
    <w:uiPriority w:val="99"/>
    <w:semiHidden/>
    <w:rsid w:val="00002C86"/>
  </w:style>
  <w:style w:type="paragraph" w:styleId="CommentSubject">
    <w:name w:val="annotation subject"/>
    <w:basedOn w:val="CommentText"/>
    <w:next w:val="CommentText"/>
    <w:link w:val="CommentSubjectChar"/>
    <w:uiPriority w:val="99"/>
    <w:semiHidden/>
    <w:unhideWhenUsed/>
    <w:rsid w:val="00002C86"/>
    <w:rPr>
      <w:b/>
      <w:bCs/>
    </w:rPr>
  </w:style>
  <w:style w:type="character" w:customStyle="1" w:styleId="CommentSubjectChar">
    <w:name w:val="Comment Subject Char"/>
    <w:basedOn w:val="CommentTextChar"/>
    <w:link w:val="CommentSubject"/>
    <w:uiPriority w:val="99"/>
    <w:semiHidden/>
    <w:rsid w:val="00002C86"/>
    <w:rPr>
      <w:b/>
      <w:bCs/>
    </w:rPr>
  </w:style>
  <w:style w:type="paragraph" w:styleId="BalloonText">
    <w:name w:val="Balloon Text"/>
    <w:basedOn w:val="Normal"/>
    <w:link w:val="BalloonTextChar"/>
    <w:uiPriority w:val="99"/>
    <w:semiHidden/>
    <w:unhideWhenUsed/>
    <w:rsid w:val="00002C8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2C86"/>
    <w:rPr>
      <w:rFonts w:ascii="Segoe UI" w:hAnsi="Segoe UI" w:cs="Segoe UI"/>
      <w:sz w:val="18"/>
      <w:szCs w:val="18"/>
    </w:rPr>
  </w:style>
  <w:style w:type="paragraph" w:styleId="Footer">
    <w:name w:val="footer"/>
    <w:basedOn w:val="Normal"/>
    <w:link w:val="FooterChar"/>
    <w:uiPriority w:val="99"/>
    <w:unhideWhenUsed/>
    <w:rsid w:val="00DC5126"/>
    <w:pPr>
      <w:tabs>
        <w:tab w:val="center" w:pos="4680"/>
        <w:tab w:val="right" w:pos="9360"/>
      </w:tabs>
    </w:pPr>
  </w:style>
  <w:style w:type="character" w:customStyle="1" w:styleId="FooterChar">
    <w:name w:val="Footer Char"/>
    <w:basedOn w:val="DefaultParagraphFont"/>
    <w:link w:val="Footer"/>
    <w:uiPriority w:val="99"/>
    <w:rsid w:val="00DC5126"/>
    <w:rPr>
      <w:sz w:val="24"/>
      <w:szCs w:val="24"/>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oi-org.lopes.idm.oclc.org/10.1002/adsp.1211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BieWiJyxxMOLXdWUeeasLqAdA==">CgMxLjAyDmguNW1reTI5NDYwcTZ0OAByITE1UEsxaVg1UV84VUsxcG8tLTNSaFl2cWE4TDFLbmxpZw==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1013</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Milliken</dc:creator>
  <cp:lastModifiedBy>Admin</cp:lastModifiedBy>
  <cp:revision>2</cp:revision>
  <dcterms:created xsi:type="dcterms:W3CDTF">2025-12-17T23:55:00Z</dcterms:created>
  <dcterms:modified xsi:type="dcterms:W3CDTF">2025-12-17T23:55:00Z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0x010100911D7BF13958C64483E7E107A08507EA</vt:lpwstr>
  </property>
  <property fmtid="{D5CDD505-2E9C-101B-9397-08002B2CF9AE}" pid="3" name="DocumentDepartment">
    <vt:lpwstr>3;#Academic Program and Course Development|59abafec-cbf5-4238-a796-a3b74278f4db</vt:lpwstr>
  </property>
  <property fmtid="{D5CDD505-2E9C-101B-9397-08002B2CF9AE}" pid="4" name="TaxKeyword">
    <vt:lpwstr/>
  </property>
  <property fmtid="{D5CDD505-2E9C-101B-9397-08002B2CF9AE}" pid="5" name="DocumentBusinessValue">
    <vt:lpwstr>1;#Normal|581d4866-74cc-43f1-bef1-bb304cbfeaa5</vt:lpwstr>
  </property>
  <property fmtid="{D5CDD505-2E9C-101B-9397-08002B2CF9AE}" pid="6" name="SecurityClassification">
    <vt:lpwstr>2;#Internal|98311b30-b9e9-4d4f-9f64-0688c0d4a234</vt:lpwstr>
  </property>
  <property fmtid="{D5CDD505-2E9C-101B-9397-08002B2CF9AE}" pid="7" name="DocumentStatus">
    <vt:lpwstr/>
  </property>
  <property fmtid="{D5CDD505-2E9C-101B-9397-08002B2CF9AE}" pid="8" name="DocumentCategory">
    <vt:lpwstr/>
  </property>
  <property fmtid="{D5CDD505-2E9C-101B-9397-08002B2CF9AE}" pid="9" name="DocumentSubject">
    <vt:lpwstr/>
  </property>
  <property fmtid="{D5CDD505-2E9C-101B-9397-08002B2CF9AE}" pid="10" name="DocumentType">
    <vt:lpwstr/>
  </property>
  <property fmtid="{D5CDD505-2E9C-101B-9397-08002B2CF9AE}" pid="11" name="Order">
    <vt:r8>14706800</vt:r8>
  </property>
  <property fmtid="{D5CDD505-2E9C-101B-9397-08002B2CF9AE}" pid="12" name="xd_ProgID">
    <vt:lpwstr/>
  </property>
  <property fmtid="{D5CDD505-2E9C-101B-9397-08002B2CF9AE}" pid="13" name="ComplianceAssetId">
    <vt:lpwstr/>
  </property>
  <property fmtid="{D5CDD505-2E9C-101B-9397-08002B2CF9AE}" pid="14" name="TemplateUrl">
    <vt:lpwstr/>
  </property>
</Properties>
</file>